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171-nt10q_biomx.htm"/>
      <w:bookmarkStart w:id="1" w:name="ksea0302171nt10q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 ☐ Form 20-F ☐ Form 11-K</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10-Q ☐ Form 10-D ☐ Form N-SAR ☐ Form N-CSR 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Ended: June 30, 2026</w:t>
      </w:r>
    </w:p>
    <w:p>
      <w:pPr>
        <w:pStyle w:val="TextBody"/>
        <w:bidi w:val="0"/>
        <w:spacing w:before="0" w:after="0"/>
        <w:ind w:left="0" w:right="0" w:hanging="0"/>
        <w:jc w:val="center"/>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10-K</w:t>
            </w:r>
          </w:p>
        </w:tc>
      </w:tr>
    </w:tbl>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20-F</w:t>
            </w:r>
          </w:p>
        </w:tc>
      </w:tr>
    </w:tbl>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11-K</w:t>
            </w:r>
          </w:p>
        </w:tc>
      </w:tr>
    </w:tbl>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10-Q</w:t>
            </w:r>
          </w:p>
        </w:tc>
      </w:tr>
    </w:tbl>
    <w:tbl>
      <w:tblPr>
        <w:tblW w:w="3078" w:type="dxa"/>
        <w:jc w:val="left"/>
        <w:tblInd w:w="0" w:type="dxa"/>
        <w:tblLayout w:type="fixed"/>
        <w:tblCellMar>
          <w:top w:w="0" w:type="dxa"/>
          <w:left w:w="0" w:type="dxa"/>
          <w:bottom w:w="0" w:type="dxa"/>
          <w:right w:w="0" w:type="dxa"/>
        </w:tblCellMar>
      </w:tblPr>
      <w:tblGrid>
        <w:gridCol w:w="38"/>
        <w:gridCol w:w="23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Transition Report on Form N-SAR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Nothing in this form shall be construed to imply that the Commission has verified any information contained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850 New Burton Road, Suite 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Dover, DE 19904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12b- 25(b), the following should be completed. (Check box if appropriate)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229"/>
        <w:gridCol w:w="9731"/>
      </w:tblGrid>
      <w:tr>
        <w:trPr/>
        <w:tc>
          <w:tcPr>
            <w:tcW w:w="245" w:type="dxa"/>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sz w:val="20"/>
              </w:rPr>
            </w:pPr>
            <w:r>
              <w:rPr>
                <w:sz w:val="20"/>
              </w:rPr>
              <w:t>(a)</w:t>
            </w:r>
          </w:p>
        </w:tc>
        <w:tc>
          <w:tcPr>
            <w:tcW w:w="9731" w:type="dxa"/>
            <w:tcBorders/>
            <w:vAlign w:val="center"/>
          </w:tcPr>
          <w:p>
            <w:pPr>
              <w:pStyle w:val="TableContents"/>
              <w:bidi w:val="0"/>
              <w:spacing w:before="0" w:after="283"/>
              <w:jc w:val="both"/>
              <w:rPr>
                <w:sz w:val="20"/>
              </w:rPr>
            </w:pPr>
            <w:r>
              <w:rPr>
                <w:sz w:val="20"/>
              </w:rPr>
              <w:t>The reason described in reasonable detail in Part III of this form could not be eliminated without unreasonable effort or expense</w:t>
            </w:r>
          </w:p>
        </w:tc>
      </w:tr>
      <w:tr>
        <w:trPr/>
        <w:tc>
          <w:tcPr>
            <w:tcW w:w="245" w:type="dxa"/>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pPr>
            <w:r>
              <w:rPr/>
              <w:t> </w:t>
            </w:r>
          </w:p>
        </w:tc>
        <w:tc>
          <w:tcPr>
            <w:tcW w:w="9731"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229" w:type="dxa"/>
            <w:tcBorders/>
            <w:vAlign w:val="center"/>
          </w:tcPr>
          <w:p>
            <w:pPr>
              <w:pStyle w:val="TableContents"/>
              <w:bidi w:val="0"/>
              <w:spacing w:before="0" w:after="283"/>
              <w:jc w:val="left"/>
              <w:rPr>
                <w:sz w:val="20"/>
              </w:rPr>
            </w:pPr>
            <w:r>
              <w:rPr>
                <w:sz w:val="20"/>
              </w:rPr>
              <w:t>(b)</w:t>
            </w:r>
          </w:p>
        </w:tc>
        <w:tc>
          <w:tcPr>
            <w:tcW w:w="9731" w:type="dxa"/>
            <w:tcBorders/>
            <w:vAlign w:val="center"/>
          </w:tcPr>
          <w:p>
            <w:pPr>
              <w:pStyle w:val="TableContents"/>
              <w:bidi w:val="0"/>
              <w:spacing w:before="0" w:after="283"/>
              <w:jc w:val="both"/>
              <w:rPr>
                <w:sz w:val="20"/>
              </w:rPr>
            </w:pPr>
            <w:r>
              <w:rPr>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pPr>
            <w:r>
              <w:rPr/>
              <w:t> </w:t>
            </w:r>
          </w:p>
        </w:tc>
        <w:tc>
          <w:tcPr>
            <w:tcW w:w="9731"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sz w:val="20"/>
              </w:rPr>
            </w:pPr>
            <w:r>
              <w:rPr>
                <w:sz w:val="20"/>
              </w:rPr>
              <w:t>(C)</w:t>
            </w:r>
          </w:p>
        </w:tc>
        <w:tc>
          <w:tcPr>
            <w:tcW w:w="9731" w:type="dxa"/>
            <w:tcBorders/>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10-Q,10-D, N-SAR,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could not complete the filing of its Quarterly Report on Form 10-Q for the quarter ended June 30, 2026 within the prescribed time period without unreasonable effort or expense which delay could not be eliminated by the Registrant without unreasonable effort and expense. Additional time is required to complete the preparation and review of the Registrant’s financial statements and related disclosures for the quarter, principally because (i) key internal accounting personnel of the Registrant have been unexpectedly unavailable due to a personal emergency, (ii) additional time is required to finalize the accounting for, and the disclosures relating to, the acquisitions of a controlling interest in Dr. Frucht Systems Ltd. and of ZorroNet Ltd. completed in April 2026, including the related purchase price allocations, fair value measurements, and related party matters, and (iii) the Registrant’s change in independent registered public accounting firm effective July 1, 2026 has required additional time for the Registrant’s new independent registered public accounting firm to complete its review procedures for the quarter. In accordance with Rule 12b-25 of the Securities Exchange Act of 1934, Registrant will file its Quarterly Report on Form 10-Q no later than the fifth calendar day following the prescribed due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245"/>
        <w:gridCol w:w="63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(1)</w:t>
            </w:r>
          </w:p>
        </w:tc>
        <w:tc>
          <w:tcPr>
            <w:tcW w:w="6335" w:type="dxa"/>
            <w:tcBorders/>
            <w:vAlign w:val="center"/>
          </w:tcPr>
          <w:p>
            <w:pPr>
              <w:pStyle w:val="TableContents"/>
              <w:bidi w:val="0"/>
              <w:spacing w:before="0" w:after="283"/>
              <w:jc w:val="both"/>
              <w:rPr>
                <w:sz w:val="20"/>
              </w:rPr>
            </w:pPr>
            <w:r>
              <w:rPr>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75"/>
        <w:gridCol w:w="1220"/>
        <w:gridCol w:w="60"/>
        <w:gridCol w:w="995"/>
        <w:gridCol w:w="60"/>
        <w:gridCol w:w="1715"/>
      </w:tblGrid>
      <w:tr>
        <w:trPr/>
        <w:tc>
          <w:tcPr>
            <w:tcW w:w="75" w:type="dxa"/>
            <w:tcBorders/>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Michael Oster</w:t>
            </w:r>
          </w:p>
        </w:tc>
        <w:tc>
          <w:tcPr>
            <w:tcW w:w="60" w:type="dxa"/>
            <w:tcBorders/>
            <w:vAlign w:val="center"/>
          </w:tcPr>
          <w:p>
            <w:pPr>
              <w:pStyle w:val="TableContents"/>
              <w:bidi w:val="0"/>
              <w:spacing w:before="0" w:after="283"/>
              <w:jc w:val="center"/>
              <w:rPr/>
            </w:pPr>
            <w:r>
              <w:rPr/>
              <w:t> </w:t>
            </w:r>
          </w:p>
        </w:tc>
        <w:tc>
          <w:tcPr>
            <w:tcW w:w="99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972 </w:t>
            </w:r>
          </w:p>
        </w:tc>
        <w:tc>
          <w:tcPr>
            <w:tcW w:w="60" w:type="dxa"/>
            <w:tcBorders/>
            <w:vAlign w:val="center"/>
          </w:tcPr>
          <w:p>
            <w:pPr>
              <w:pStyle w:val="TableContents"/>
              <w:bidi w:val="0"/>
              <w:spacing w:before="0" w:after="283"/>
              <w:jc w:val="center"/>
              <w:rPr/>
            </w:pPr>
            <w:r>
              <w:rPr/>
              <w:t> </w:t>
            </w:r>
          </w:p>
        </w:tc>
        <w:tc>
          <w:tcPr>
            <w:tcW w:w="171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52 437 4900</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sz w:val="20"/>
              </w:rPr>
            </w:pPr>
            <w:r>
              <w:rPr>
                <w:sz w:val="20"/>
              </w:rPr>
              <w:t>(Name)</w:t>
            </w:r>
          </w:p>
        </w:tc>
        <w:tc>
          <w:tcPr>
            <w:tcW w:w="60" w:type="dxa"/>
            <w:tcBorders/>
            <w:vAlign w:val="center"/>
          </w:tcPr>
          <w:p>
            <w:pPr>
              <w:pStyle w:val="TableContents"/>
              <w:bidi w:val="0"/>
              <w:spacing w:before="0" w:after="283"/>
              <w:jc w:val="center"/>
              <w:rPr/>
            </w:pPr>
            <w:r>
              <w:rPr/>
              <w:t> </w:t>
            </w:r>
          </w:p>
        </w:tc>
        <w:tc>
          <w:tcPr>
            <w:tcW w:w="995" w:type="dxa"/>
            <w:tcBorders/>
            <w:vAlign w:val="center"/>
          </w:tcPr>
          <w:p>
            <w:pPr>
              <w:pStyle w:val="TableContents"/>
              <w:bidi w:val="0"/>
              <w:spacing w:before="0" w:after="283"/>
              <w:jc w:val="center"/>
              <w:rPr>
                <w:sz w:val="20"/>
              </w:rPr>
            </w:pPr>
            <w:r>
              <w:rPr>
                <w:sz w:val="20"/>
              </w:rPr>
              <w:t>(Area Code)</w:t>
            </w:r>
          </w:p>
        </w:tc>
        <w:tc>
          <w:tcPr>
            <w:tcW w:w="60" w:type="dxa"/>
            <w:tcBorders/>
            <w:vAlign w:val="center"/>
          </w:tcPr>
          <w:p>
            <w:pPr>
              <w:pStyle w:val="TableContents"/>
              <w:bidi w:val="0"/>
              <w:spacing w:before="0" w:after="283"/>
              <w:jc w:val="center"/>
              <w:rPr/>
            </w:pPr>
            <w:r>
              <w:rPr/>
              <w:t> </w:t>
            </w:r>
          </w:p>
        </w:tc>
        <w:tc>
          <w:tcPr>
            <w:tcW w:w="1715" w:type="dxa"/>
            <w:tcBorders/>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(2)</w:t>
            </w:r>
          </w:p>
        </w:tc>
        <w:tc>
          <w:tcPr>
            <w:tcW w:w="9924" w:type="dxa"/>
            <w:tcBorders/>
            <w:vAlign w:val="center"/>
          </w:tcPr>
          <w:p>
            <w:pPr>
              <w:pStyle w:val="TableContents"/>
              <w:bidi w:val="0"/>
              <w:spacing w:before="0" w:after="283"/>
              <w:jc w:val="both"/>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sz w:val="20"/>
              </w:rPr>
            </w:pPr>
            <w:r>
              <w:rPr>
                <w:sz w:val="20"/>
              </w:rPr>
              <w:t>(3)</w:t>
            </w:r>
          </w:p>
        </w:tc>
        <w:tc>
          <w:tcPr>
            <w:tcW w:w="9914" w:type="dxa"/>
            <w:tcBorders/>
            <w:vAlign w:val="center"/>
          </w:tcPr>
          <w:p>
            <w:pPr>
              <w:pStyle w:val="TableContents"/>
              <w:bidi w:val="0"/>
              <w:spacing w:before="0" w:after="283"/>
              <w:jc w:val="both"/>
              <w:rPr>
                <w:sz w:val="20"/>
              </w:rPr>
            </w:pPr>
            <w:r>
              <w:rPr>
                <w:sz w:val="20"/>
              </w:rPr>
              <w:t>Is it anticipated that any significant change in results of operations from the corresponding period for the last fiscal year will be reflected by the earnings statements to be included in the subject report or portion thereof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significant changes in its results of operations for the three and six months ended June 30, 2026 as compared to the corresponding periods of 2025, principally as a result of: (i) the consolidation of Dr. Frucht Systems Ltd. and ZorroNet Ltd. following the acquisitions completed in April 2026; (ii) non-cash items associated with acquisition-related financial instruments, including changes in the fair value of warrants and other financial instruments measured at fair value and a day-one loss recognized upon entering into certain of such instruments; (iii) a gain recognized upon the deconsolidation of a subsidiary; and (iv) changes in operating expenses following the wind-down of the Company’s legacy phage therapy programs. Because the Company’s financial statements for the periods have not been finalized, the Company is unable to provide a reasonable quantitative estimate of the anticipated changes without unreasonable effort.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reasonable quantitative estimate of the foregoing changes is not provided at this time because the Company’s period-end financial close, including the accounting for the Series Y financing , has not been completed as of the date of this notification.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1865"/>
        <w:gridCol w:w="470"/>
        <w:gridCol w:w="1955"/>
      </w:tblGrid>
      <w:tr>
        <w:trPr/>
        <w:tc>
          <w:tcPr>
            <w:tcW w:w="1865" w:type="dxa"/>
            <w:tcBorders/>
            <w:vAlign w:val="center"/>
          </w:tcPr>
          <w:p>
            <w:pPr>
              <w:pStyle w:val="TableContents"/>
              <w:bidi w:val="0"/>
              <w:spacing w:before="0" w:after="283"/>
              <w:jc w:val="left"/>
              <w:rPr>
                <w:sz w:val="20"/>
              </w:rPr>
            </w:pPr>
            <w:r>
              <w:rPr>
                <w:sz w:val="20"/>
              </w:rPr>
              <w:t>Date: August 14, 2026</w:t>
            </w:r>
          </w:p>
        </w:tc>
        <w:tc>
          <w:tcPr>
            <w:tcW w:w="470"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Michael Oster</w:t>
            </w:r>
          </w:p>
        </w:tc>
      </w:tr>
      <w:tr>
        <w:trPr/>
        <w:tc>
          <w:tcPr>
            <w:tcW w:w="186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Michael Oster</w:t>
            </w:r>
          </w:p>
        </w:tc>
      </w:tr>
      <w:tr>
        <w:trPr/>
        <w:tc>
          <w:tcPr>
            <w:tcW w:w="186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926</Words>
  <Characters>4892</Characters>
  <CharactersWithSpaces>5816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