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78318-8k_biomxinc.htm"/>
      <w:bookmarkStart w:id="1" w:name="ksea02783188k_biomxinc"/>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21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February 19, 2026</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4"/>
              </w:rPr>
            </w:pPr>
            <w:bookmarkStart w:id="4" w:name="xdx_90C_edei--EntityRegistrantName_c2026"/>
            <w:bookmarkEnd w:id="4"/>
            <w:r>
              <w:rPr>
                <w:b/>
                <w:sz w:val="24"/>
              </w:rPr>
              <w:t>BiomX Inc.</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ind w:left="0" w:right="0" w:hanging="0"/>
              <w:jc w:val="center"/>
              <w:rPr>
                <w:b/>
              </w:rPr>
            </w:pPr>
            <w:bookmarkStart w:id="5" w:name="xdx_90B_edei--EntityIncorporationStateCo"/>
            <w:bookmarkEnd w:id="5"/>
            <w:r>
              <w:rPr>
                <w:b/>
              </w:rPr>
              <w:t>Delaware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15" w:type="dxa"/>
            <w:tcBorders>
              <w:bottom w:val="single" w:sz="12" w:space="0" w:color="000000"/>
            </w:tcBorders>
            <w:vAlign w:val="center"/>
          </w:tcPr>
          <w:p>
            <w:pPr>
              <w:pStyle w:val="TableContents"/>
              <w:bidi w:val="0"/>
              <w:spacing w:before="0" w:after="283"/>
              <w:ind w:left="0" w:right="0" w:hanging="0"/>
              <w:jc w:val="center"/>
              <w:rPr>
                <w:b/>
              </w:rPr>
            </w:pPr>
            <w:bookmarkStart w:id="6" w:name="xdx_90F_edei--EntityFileNumber_c20260219"/>
            <w:bookmarkEnd w:id="6"/>
            <w:r>
              <w:rPr>
                <w:b/>
              </w:rPr>
              <w:t>001-38762</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775" w:type="dxa"/>
            <w:tcBorders>
              <w:bottom w:val="single" w:sz="12" w:space="0" w:color="000000"/>
            </w:tcBorders>
            <w:vAlign w:val="center"/>
          </w:tcPr>
          <w:p>
            <w:pPr>
              <w:pStyle w:val="TableContents"/>
              <w:bidi w:val="0"/>
              <w:spacing w:before="0" w:after="283"/>
              <w:ind w:left="0" w:right="0" w:hanging="0"/>
              <w:jc w:val="center"/>
              <w:rPr>
                <w:b/>
              </w:rPr>
            </w:pPr>
            <w:bookmarkStart w:id="7" w:name="xdx_903_edei--EntityTaxIdentificationNum"/>
            <w:bookmarkEnd w:id="7"/>
            <w:r>
              <w:rPr>
                <w:b/>
              </w:rPr>
              <w:t>82-3364020</w:t>
            </w:r>
          </w:p>
        </w:tc>
      </w:tr>
      <w:tr>
        <w:trPr/>
        <w:tc>
          <w:tcPr>
            <w:tcW w:w="2480" w:type="dxa"/>
            <w:tcBorders/>
            <w:tcMar>
              <w:bottom w:w="0" w:type="dxa"/>
            </w:tcMar>
            <w:vAlign w:val="center"/>
          </w:tcPr>
          <w:p>
            <w:pPr>
              <w:pStyle w:val="TableContents"/>
              <w:bidi w:val="0"/>
              <w:spacing w:before="0" w:after="283"/>
              <w:ind w:left="0" w:right="0" w:hanging="0"/>
              <w:jc w:val="center"/>
              <w:rPr/>
            </w:pPr>
            <w:r>
              <w:rPr/>
              <w:t>(State or other jurisdiction</w:t>
              <w:br/>
              <w:t>of incorporation)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615" w:type="dxa"/>
            <w:tcBorders/>
            <w:tcMar>
              <w:bottom w:w="0" w:type="dxa"/>
            </w:tcMar>
            <w:vAlign w:val="center"/>
          </w:tcPr>
          <w:p>
            <w:pPr>
              <w:pStyle w:val="TableContents"/>
              <w:bidi w:val="0"/>
              <w:spacing w:before="0" w:after="283"/>
              <w:ind w:left="0" w:right="0" w:hanging="0"/>
              <w:jc w:val="center"/>
              <w:rPr/>
            </w:pPr>
            <w:r>
              <w:rPr/>
              <w:t>(Commission File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28" w:type="dxa"/>
          <w:right w:w="0" w:type="dxa"/>
        </w:tblCellMar>
      </w:tblPr>
      <w:tblGrid>
        <w:gridCol w:w="4595"/>
        <w:gridCol w:w="60"/>
        <w:gridCol w:w="1085"/>
      </w:tblGrid>
      <w:tr>
        <w:trPr/>
        <w:tc>
          <w:tcPr>
            <w:tcW w:w="4595" w:type="dxa"/>
            <w:tcBorders>
              <w:bottom w:val="single" w:sz="12" w:space="0" w:color="000000"/>
            </w:tcBorders>
            <w:vAlign w:val="center"/>
          </w:tcPr>
          <w:p>
            <w:pPr>
              <w:pStyle w:val="TableContents"/>
              <w:bidi w:val="0"/>
              <w:spacing w:before="0" w:after="283"/>
              <w:jc w:val="center"/>
              <w:rPr>
                <w:b/>
              </w:rPr>
            </w:pPr>
            <w:bookmarkStart w:id="8" w:name="xdx_90A_edei--EntityAddressAddressLine1_"/>
            <w:bookmarkEnd w:id="8"/>
            <w:r>
              <w:rPr>
                <w:b/>
              </w:rPr>
              <w:t xml:space="preserve">850 New Burton Road, </w:t>
            </w:r>
            <w:bookmarkStart w:id="9" w:name="xdx_90B_edei--EntityAddressAddressLine2_"/>
            <w:bookmarkEnd w:id="9"/>
            <w:r>
              <w:rPr>
                <w:b/>
              </w:rPr>
              <w:t xml:space="preserve">Suite 201, </w:t>
            </w:r>
            <w:bookmarkStart w:id="10" w:name="xdx_90F_edei--EntityAddressCityOrTown_c2"/>
            <w:bookmarkEnd w:id="10"/>
            <w:r>
              <w:rPr>
                <w:b/>
              </w:rPr>
              <w:t xml:space="preserve">Dover, </w:t>
            </w:r>
            <w:bookmarkStart w:id="11" w:name="xdx_904_edei--EntityAddressStateOrProvin"/>
            <w:bookmarkEnd w:id="11"/>
            <w:r>
              <w:rPr>
                <w:b/>
              </w:rPr>
              <w:t>DE</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2" w:name="xdx_907_edei--EntityAddressPostalZipCode"/>
            <w:bookmarkEnd w:id="12"/>
            <w:r>
              <w:rPr>
                <w:b/>
              </w:rPr>
              <w:t>19904</w:t>
            </w:r>
          </w:p>
        </w:tc>
      </w:tr>
      <w:tr>
        <w:trPr/>
        <w:tc>
          <w:tcPr>
            <w:tcW w:w="459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5_edei--CityAreaCode_c20260219__20"/>
      <w:bookmarkEnd w:id="13"/>
      <w:r>
        <w:rPr>
          <w:rFonts w:ascii="Times New Roman;Times;Serif" w:hAnsi="Times New Roman;Times;Serif"/>
          <w:b/>
          <w:i w:val="false"/>
          <w:caps w:val="false"/>
          <w:smallCaps w:val="false"/>
          <w:sz w:val="20"/>
        </w:rPr>
        <w:t xml:space="preserve">972) </w:t>
      </w:r>
      <w:bookmarkStart w:id="14" w:name="xdx_907_edei--LocalPhoneNumber_c20260219"/>
      <w:bookmarkEnd w:id="14"/>
      <w:r>
        <w:rPr>
          <w:rFonts w:ascii="Times New Roman;Times;Serif" w:hAnsi="Times New Roman;Times;Serif"/>
          <w:b/>
          <w:i w:val="false"/>
          <w:caps w:val="false"/>
          <w:smallCaps w:val="false"/>
          <w:sz w:val="20"/>
        </w:rPr>
        <w:t>54-561-0935</w:t>
      </w:r>
    </w:p>
    <w:p>
      <w:pPr>
        <w:pStyle w:val="TextBody"/>
        <w:bidi w:val="0"/>
        <w:spacing w:before="0" w:after="0"/>
        <w:ind w:left="0" w:right="0" w:hanging="0"/>
        <w:jc w:val="center"/>
        <w:rPr>
          <w:caps w:val="false"/>
          <w:smallCaps w:val="false"/>
        </w:rPr>
      </w:pPr>
      <w:r>
        <w:rPr>
          <w:caps w:val="false"/>
          <w:smallCaps w:val="false"/>
        </w:rPr>
        <w:t> </w:t>
      </w:r>
    </w:p>
    <w:tbl>
      <w:tblPr>
        <w:tblW w:w="5870" w:type="dxa"/>
        <w:jc w:val="left"/>
        <w:tblInd w:w="0" w:type="dxa"/>
        <w:tblLayout w:type="fixed"/>
        <w:tblCellMar>
          <w:top w:w="0" w:type="dxa"/>
          <w:left w:w="0" w:type="dxa"/>
          <w:bottom w:w="28" w:type="dxa"/>
          <w:right w:w="0" w:type="dxa"/>
        </w:tblCellMar>
      </w:tblPr>
      <w:tblGrid>
        <w:gridCol w:w="5795"/>
        <w:gridCol w:w="75"/>
      </w:tblGrid>
      <w:tr>
        <w:trPr/>
        <w:tc>
          <w:tcPr>
            <w:tcW w:w="5795" w:type="dxa"/>
            <w:tcBorders>
              <w:bottom w:val="single" w:sz="12" w:space="0" w:color="000000"/>
            </w:tcBorders>
            <w:vAlign w:val="center"/>
          </w:tcPr>
          <w:p>
            <w:pPr>
              <w:pStyle w:val="TableContents"/>
              <w:bidi w:val="0"/>
              <w:spacing w:before="0" w:after="283"/>
              <w:jc w:val="center"/>
              <w:rPr>
                <w:b/>
              </w:rPr>
            </w:pPr>
            <w:r>
              <w:rPr>
                <w:b/>
              </w:rPr>
              <w:t>n/a</w:t>
            </w:r>
          </w:p>
        </w:tc>
        <w:tc>
          <w:tcPr>
            <w:tcW w:w="75" w:type="dxa"/>
            <w:tcBorders/>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center"/>
              <w:rPr/>
            </w:pPr>
            <w:r>
              <w:rPr/>
              <w:t>(Former name or former address, if changed since last report)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7_edei--SolicitingMaterial_c202602"/>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870" w:type="dxa"/>
        <w:jc w:val="left"/>
        <w:tblInd w:w="0" w:type="dxa"/>
        <w:tblLayout w:type="fixed"/>
        <w:tblCellMar>
          <w:top w:w="0" w:type="dxa"/>
          <w:left w:w="0" w:type="dxa"/>
          <w:bottom w:w="28" w:type="dxa"/>
          <w:right w:w="0" w:type="dxa"/>
        </w:tblCellMar>
      </w:tblPr>
      <w:tblGrid>
        <w:gridCol w:w="3350"/>
        <w:gridCol w:w="60"/>
        <w:gridCol w:w="1925"/>
        <w:gridCol w:w="60"/>
        <w:gridCol w:w="4475"/>
      </w:tblGrid>
      <w:tr>
        <w:trPr/>
        <w:tc>
          <w:tcPr>
            <w:tcW w:w="3350" w:type="dxa"/>
            <w:tcBorders>
              <w:bottom w:val="single" w:sz="12" w:space="0" w:color="000000"/>
            </w:tcBorders>
            <w:vAlign w:val="center"/>
          </w:tcPr>
          <w:p>
            <w:pPr>
              <w:pStyle w:val="TableContents"/>
              <w:bidi w:val="0"/>
              <w:spacing w:before="0" w:after="283"/>
              <w:ind w:left="0" w:right="0" w:hanging="0"/>
              <w:jc w:val="center"/>
              <w:rPr>
                <w:b/>
              </w:rPr>
            </w:pPr>
            <w:r>
              <w:rPr>
                <w:b/>
              </w:rPr>
              <w:t>Title of each class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925" w:type="dxa"/>
            <w:tcBorders>
              <w:bottom w:val="single" w:sz="12" w:space="0" w:color="000000"/>
            </w:tcBorders>
            <w:vAlign w:val="center"/>
          </w:tcPr>
          <w:p>
            <w:pPr>
              <w:pStyle w:val="TableContents"/>
              <w:bidi w:val="0"/>
              <w:spacing w:before="0" w:after="283"/>
              <w:ind w:left="0" w:right="0" w:hanging="0"/>
              <w:jc w:val="center"/>
              <w:rPr>
                <w:b/>
              </w:rPr>
            </w:pPr>
            <w:r>
              <w:rPr>
                <w:b/>
              </w:rPr>
              <w:t>Trading Symbol(s)</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ind w:left="0" w:right="0" w:hanging="0"/>
              <w:jc w:val="center"/>
              <w:rPr/>
            </w:pPr>
            <w:bookmarkStart w:id="19" w:name="xdx_903_edei--Security12bTitle_c20260219"/>
            <w:bookmarkEnd w:id="19"/>
            <w:r>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25" w:type="dxa"/>
            <w:tcBorders/>
            <w:shd w:fill="CCEEFF" w:val="clear"/>
            <w:tcMar>
              <w:bottom w:w="0" w:type="dxa"/>
            </w:tcMar>
            <w:vAlign w:val="center"/>
          </w:tcPr>
          <w:p>
            <w:pPr>
              <w:pStyle w:val="TableContents"/>
              <w:bidi w:val="0"/>
              <w:spacing w:before="0" w:after="283"/>
              <w:ind w:left="0" w:right="0" w:hanging="0"/>
              <w:jc w:val="center"/>
              <w:rPr/>
            </w:pPr>
            <w:bookmarkStart w:id="20" w:name="xdx_90F_edei--TradingSymbol_c20260219__2"/>
            <w:bookmarkEnd w:id="20"/>
            <w:r>
              <w:rPr/>
              <w:t>PHGE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5" w:type="dxa"/>
            <w:tcBorders/>
            <w:shd w:fill="CCEEFF" w:val="clear"/>
            <w:tcMar>
              <w:bottom w:w="0" w:type="dxa"/>
            </w:tcMar>
            <w:vAlign w:val="center"/>
          </w:tcPr>
          <w:p>
            <w:pPr>
              <w:pStyle w:val="TableContents"/>
              <w:bidi w:val="0"/>
              <w:spacing w:before="0" w:after="283"/>
              <w:jc w:val="center"/>
              <w:rPr/>
            </w:pPr>
            <w:bookmarkStart w:id="21" w:name="xdx_903_edei--SecurityExchangeName_c2026"/>
            <w:bookmarkEnd w:id="21"/>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Compensation Arrangements of Certain Officers.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Alan Moses resigned from the Board of Directors (the “Board”) of BiomX Inc. (the “Company”), for personal reasons, effective immediately. Mr. Moses did not advise the Company of any disagreement with the Company on any matter relating to its operations, policies or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2026, the Board of the Company, pursuant to a recommendation of the Nominating and Corporate Governance Committee of the Board, appointed Guy Arieli to serve as a Class I Director of the Company, with a term expiring at the Company’s annual meeting of stockholders in 2027, and appointed Shaked Ran to serve as a Class III Director of the Company, with a term expiring at the Company’s annual meeting of stockholders in 2026, in order to fill two existing vacancies on Company’s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Arieli, age 43, is a pension and investment advisory specialist with extensive experience in providing pension consulting, investment advisory, and managing strategic client portfolios for corporate and institutional clients. Since 2014, Mr. Arieli has been self-employed, providing freelance consulting services to leading insurance and financial firms, including managing El Al Airlines’ portfolio and pension arrangements for hundreds of employees. Previously, Mr. Arieli served as a Pension and Investment Advisor at Mivtach Simon Insurance Agencies Ltd. from 2012 to 2014 and as a Pension Consultant and in marketing of financial products at Perfect Investment House (a subsidiary of Altshuler Shaham) from 2009 to 2012. Mr. Arieli holds an MBA with a specialization in Finance from Netanya Academic College and a B.B.A. and Industrial Engineering degree from Ruppin Academic Center, and previously held investment advisory and pension advisory licenses issued by the Israel Securities Authority and the Capital Market, Insurance and Savings Authority,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Ran, age 44, is an investment advisor and portfolio manager with over 20 years of experience (2006-present) in capital markets, financial analysis, and investment management, with expertise in market analysis, risk assessment, and developing investment strategies for private and institutional clients. Since 2015, Mr. Ran has served as a self-employed independent investment advisor and portfolio manager in Jerusalem, Israel. Previously, Mr. Ran provided portfolio management and investment advisory services on a freelance basis from 2010 to 2015, and served as a financial analyst and investment advisor from 2006 to 2010, providing market research and investment recommendations. Mr. Ran holds a certificate in Financial Markets Analysis and Investments from Capital Markets College and completed advanced coursework in Financial Information Systems at High-Tech College.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Arieli or Mr. Ran and any other person pursuant to which Mr. Arieli and Mr. Ran were selected as Directors. There are no transactions, relationships or agreements between Mr. Arieli or Mr. Ran and the Company that would require disclosure pursuant to Item 404(a) of Regulation S-K promulgated under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concluded that Mr. Arieli and Mr. Ran are qualified to serve as Directors and are independent under the rules of the NYSE American LLC. For their service as Directors, Mr. Arieli and Mr. Ran will be entitled to the compensation the Company generally provides to its Directors, with the annual cash fees prorated.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the Company will enter into an indemnification agreement with Mr. Arieli and Mr. Ran on substantially the same terms as the agreements previously entered into between the Company and each of its other Directors. The form of indemnification agreement entered into between the Company and its Directors is filed as Exhibit 10.3 to the Company’s Annual Report on Form 10-K, filed on February 19, 2026,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1790"/>
        <w:gridCol w:w="365"/>
        <w:gridCol w:w="710"/>
        <w:gridCol w:w="2300"/>
      </w:tblGrid>
      <w:tr>
        <w:trPr/>
        <w:tc>
          <w:tcPr>
            <w:tcW w:w="1790" w:type="dxa"/>
            <w:tcBorders/>
            <w:vAlign w:val="center"/>
          </w:tcPr>
          <w:p>
            <w:pPr>
              <w:pStyle w:val="TableContents"/>
              <w:bidi w:val="0"/>
              <w:spacing w:before="0" w:after="283"/>
              <w:ind w:left="0" w:right="0" w:hanging="0"/>
              <w:jc w:val="left"/>
              <w:rPr/>
            </w:pPr>
            <w:r>
              <w:rPr/>
              <w:t> </w:t>
            </w:r>
          </w:p>
        </w:tc>
        <w:tc>
          <w:tcPr>
            <w:tcW w:w="3375" w:type="dxa"/>
            <w:gridSpan w:val="3"/>
            <w:tcBorders/>
            <w:vAlign w:val="center"/>
          </w:tcPr>
          <w:p>
            <w:pPr>
              <w:pStyle w:val="TableContents"/>
              <w:bidi w:val="0"/>
              <w:spacing w:before="0" w:after="283"/>
              <w:ind w:left="0" w:right="0" w:hanging="0"/>
              <w:jc w:val="left"/>
              <w:rPr>
                <w:b/>
              </w:rPr>
            </w:pPr>
            <w:r>
              <w:rPr>
                <w:b/>
              </w:rPr>
              <w:t>BIOMX INC.</w:t>
            </w:r>
          </w:p>
        </w:tc>
      </w:tr>
      <w:tr>
        <w:trPr/>
        <w:tc>
          <w:tcPr>
            <w:tcW w:w="179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3010" w:type="dxa"/>
            <w:gridSpan w:val="2"/>
            <w:tcBorders/>
            <w:vAlign w:val="center"/>
          </w:tcPr>
          <w:p>
            <w:pPr>
              <w:pStyle w:val="TableContents"/>
              <w:bidi w:val="0"/>
              <w:spacing w:before="0" w:after="283"/>
              <w:ind w:left="0" w:right="0" w:hanging="0"/>
              <w:jc w:val="left"/>
              <w:rPr/>
            </w:pPr>
            <w:r>
              <w:rPr/>
              <w:t> </w:t>
            </w:r>
          </w:p>
        </w:tc>
      </w:tr>
      <w:tr>
        <w:trPr/>
        <w:tc>
          <w:tcPr>
            <w:tcW w:w="1790" w:type="dxa"/>
            <w:tcBorders/>
            <w:vAlign w:val="center"/>
          </w:tcPr>
          <w:p>
            <w:pPr>
              <w:pStyle w:val="TableContents"/>
              <w:bidi w:val="0"/>
              <w:spacing w:before="0" w:after="283"/>
              <w:ind w:left="0" w:right="0" w:hanging="0"/>
              <w:jc w:val="left"/>
              <w:rPr/>
            </w:pPr>
            <w:r>
              <w:rPr/>
              <w:t>February 25, 2026</w:t>
            </w:r>
          </w:p>
        </w:tc>
        <w:tc>
          <w:tcPr>
            <w:tcW w:w="365" w:type="dxa"/>
            <w:tcBorders/>
            <w:vAlign w:val="center"/>
          </w:tcPr>
          <w:p>
            <w:pPr>
              <w:pStyle w:val="TableContents"/>
              <w:bidi w:val="0"/>
              <w:spacing w:before="0" w:after="283"/>
              <w:ind w:left="0" w:right="0" w:hanging="0"/>
              <w:jc w:val="left"/>
              <w:rPr/>
            </w:pPr>
            <w:r>
              <w:rPr/>
              <w:t>By:</w:t>
            </w:r>
          </w:p>
        </w:tc>
        <w:tc>
          <w:tcPr>
            <w:tcW w:w="3010" w:type="dxa"/>
            <w:gridSpan w:val="2"/>
            <w:tcBorders>
              <w:bottom w:val="single" w:sz="12" w:space="0" w:color="000000"/>
            </w:tcBorders>
            <w:tcMar>
              <w:bottom w:w="28" w:type="dxa"/>
            </w:tcMar>
            <w:vAlign w:val="center"/>
          </w:tcPr>
          <w:p>
            <w:pPr>
              <w:pStyle w:val="TableContents"/>
              <w:bidi w:val="0"/>
              <w:spacing w:before="0" w:after="283"/>
              <w:ind w:left="0" w:right="0" w:hanging="0"/>
              <w:jc w:val="left"/>
              <w:rPr/>
            </w:pPr>
            <w:r>
              <w:rPr/>
              <w:t>/s/ Jonathan Solomon</w:t>
            </w:r>
          </w:p>
        </w:tc>
      </w:tr>
      <w:tr>
        <w:trPr/>
        <w:tc>
          <w:tcPr>
            <w:tcW w:w="179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2300" w:type="dxa"/>
            <w:tcBorders/>
            <w:vAlign w:val="center"/>
          </w:tcPr>
          <w:p>
            <w:pPr>
              <w:pStyle w:val="TableContents"/>
              <w:bidi w:val="0"/>
              <w:spacing w:before="0" w:after="283"/>
              <w:ind w:left="0" w:right="0" w:hanging="0"/>
              <w:jc w:val="left"/>
              <w:rPr/>
            </w:pPr>
            <w:r>
              <w:rPr/>
              <w:t>Jonathan Solomon</w:t>
            </w:r>
          </w:p>
        </w:tc>
      </w:tr>
      <w:tr>
        <w:trPr/>
        <w:tc>
          <w:tcPr>
            <w:tcW w:w="1790" w:type="dxa"/>
            <w:tcBorders/>
            <w:vAlign w:val="center"/>
          </w:tcPr>
          <w:p>
            <w:pPr>
              <w:pStyle w:val="TableContents"/>
              <w:bidi w:val="0"/>
              <w:spacing w:before="0" w:after="283"/>
              <w:ind w:left="0" w:right="0" w:hanging="0"/>
              <w:jc w:val="left"/>
              <w:rPr/>
            </w:pPr>
            <w:r>
              <w:rPr/>
              <w:t> </w:t>
            </w:r>
          </w:p>
        </w:tc>
        <w:tc>
          <w:tcPr>
            <w:tcW w:w="36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972</Words>
  <Characters>5393</Characters>
  <CharactersWithSpaces>6369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