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Chardan Healthcare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001-38762</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82-3364020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6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6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of incorporation)</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1"/>
              </w:rPr>
              <w:t>17 State Street, 21st Floor New York, NY</w:t>
            </w: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10004</w:t>
            </w:r>
          </w:p>
        </w:tc>
      </w:tr>
      <w:tr>
        <w:trPr>
          <w:trHeight w:val="230"/>
        </w:trPr>
        <w:tc>
          <w:tcPr>
            <w:tcW w:w="456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680" w:firstLine="8"/>
        <w:spacing w:after="0" w:line="501" w:lineRule="auto"/>
        <w:tabs>
          <w:tab w:leader="none" w:pos="38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Securities registered pursuant to Section 12(b) of the Act:</w:t>
      </w:r>
    </w:p>
    <w:tbl>
      <w:tblPr>
        <w:tblLayout w:type="fixed"/>
        <w:tblInd w:w="0" w:type="dxa"/>
        <w:tblCellMar>
          <w:top w:w="0" w:type="dxa"/>
          <w:left w:w="0" w:type="dxa"/>
          <w:bottom w:w="0" w:type="dxa"/>
          <w:right w:w="0" w:type="dxa"/>
        </w:tblCellMar>
      </w:tblPr>
      <w:tr>
        <w:trPr>
          <w:trHeight w:val="251"/>
        </w:trPr>
        <w:tc>
          <w:tcPr>
            <w:tcW w:w="48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2"/>
        </w:trPr>
        <w:tc>
          <w:tcPr>
            <w:tcW w:w="4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common stock, $0.0001</w:t>
            </w:r>
          </w:p>
        </w:tc>
        <w:tc>
          <w:tcPr>
            <w:tcW w:w="2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CHAC.U</w:t>
            </w:r>
          </w:p>
        </w:tc>
        <w:tc>
          <w:tcPr>
            <w:tcW w:w="22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NYSE American</w:t>
            </w:r>
          </w:p>
        </w:tc>
      </w:tr>
      <w:tr>
        <w:trPr>
          <w:trHeight w:val="230"/>
        </w:trPr>
        <w:tc>
          <w:tcPr>
            <w:tcW w:w="4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par value, and one Warrant</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r>
      <w:tr>
        <w:trPr>
          <w:trHeight w:val="216"/>
        </w:trPr>
        <w:tc>
          <w:tcPr>
            <w:tcW w:w="4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Common stock, $0.0001 par value per share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CHAC</w:t>
            </w: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NYSE American</w:t>
            </w:r>
          </w:p>
        </w:tc>
      </w:tr>
      <w:tr>
        <w:trPr>
          <w:trHeight w:val="216"/>
        </w:trPr>
        <w:tc>
          <w:tcPr>
            <w:tcW w:w="4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Warrants to purchase common stock</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CHAC.WS</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BiomX Ltd. (“BiomX”), Chardan Healthcare Acquisition Corp. (“CHAC”), and their respective directors, executive officers and employees and other persons may be deemed to be participants in the solicitation of proxies from the holders of CHAC common stock in respect of the proposed transaction described herein. Information about CHAC’s directors and executive officers and their ownership of CHAC’s common stock is set forth in CHAC’s Prospectus dated December 14, 2018 and CHAC’s proxy statement on Schedule 14A dated September 23, 2019 filed with the Securities and Exchange Commission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connection with the transaction described herein, CHAC has filed relevant materials with the SEC, including a proxy statement on Schedule 14A.</w:t>
      </w:r>
    </w:p>
    <w:p>
      <w:pPr>
        <w:spacing w:after="0" w:line="5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CHAC mailed the definitive proxy statement and a proxy card to each stockholder entitled to vote at the special meeting relating to the transaction. INVESTORS AND SECURITY HOLDERS OF CHAC ARE URGED TO READ THESE MATERIALS (INCLUDING ANY AMENDMENTS OR SUPPLEMENTS THERETO) AND ANY OTHER RELEVANT DOCUMENTS IN CONNECTION WITH THE TRANSACTION THAT CHAC WILL FILE WITH THE SEC WHEN THEY BECOME AVAILABLE BECAUSE THEY WILL CONTAIN IMPORTANT INFORMATION ABOUT CHAC, BIOMX AND THE TRANSACTION. The definitive proxy statement and other relevant materials in connection with the transaction (when they become available), and any other documents filed by CHAC with the SEC, may be obtained free of charge at the SEC’s website (www.sec.gov) or by writing to Chardan Healthcare Acquisition Corp., 17 State Street, 21st Floor, New York, NY 10004.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This Current Report on Form 8-K and the documents incorporated by reference herein (this “Current Report”)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 Examples of forward-looking statements include, among others, statements made in this Current Report regarding the proposed transactions contemplated by the merger agreement (the “Merger Agreement”) among CHAC, CHAC Merger Sub Ltd. and BiomX (the “Merger”), including the anticipated initial enterprise value and post-closing equity value, the benefits of the Merger, integration plans, expected synergies and revenue opportunities, anticipated future financial and operating performance and results, including estimates for growth, the expected management and governance of the combined company, and the expected timing of the Merger. Forward-looking statements are neither historical facts nor assurances of future performance. Instead, they are based only on CHAC and BiomX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 Important factors that could cause actual results and outcomes to differ materially from those indicated in the forward-looking statements include, among others, the following: (1) the occurrence of any event that could give rise to the termination of the Merger Agreement; (2) the outcome of any legal proceedings that may be instituted against CHAC, the combined company, or others following the announcement of the Merger and the Merger Agreement; (3) the inability to complete the Merger due to the failure to obtain approval of CHAC’s stockholders or to satisfy other conditions to closing in the Merger Agreement; (4) changes to the proposed structure of the Merger that may be required or appropriate as a result of applicable laws; (5) the ability to meet NYSE American listing standards following the consummation of the Merger; (6) the risk that the Merger disrupts current plans and operations of BiomX as a result of the announcement and consummation of the Merger; (7) the ability to recognize the anticipated benefits of the Merger, which may be affected by, among other things, competition, the ability of the combined company to grow and manage growth profitably, maintain relationships with third parties and partners, obtain adequate supply of raw materials and retain its management and key employees; (8) costs related to the Merger; (9) changes in applicable laws or regulations; (10) the possibility that BiomX or the combined company may be adversely affected by other economic, business, regulatory, and/or competitive factors; (11) BiomX estimates of expenses; (12) the impact of foreign currency exchange rates and interest rates fluctuations on the results of BiomX or the combined company; and (13) other risks and uncertainties indicated in the proxy statement of CHAC filed by CHAC with the SEC in connection with the Merger, including those under “Risk Factors” therein, and other documents filed or to be filed from time to time with the SEC by CHAC.</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both"/>
        <w:spacing w:after="0" w:line="287" w:lineRule="auto"/>
        <w:rPr>
          <w:sz w:val="20"/>
          <w:szCs w:val="20"/>
          <w:color w:val="auto"/>
        </w:rPr>
      </w:pPr>
      <w:r>
        <w:rPr>
          <w:rFonts w:ascii="Arial" w:cs="Arial" w:eastAsia="Arial" w:hAnsi="Arial"/>
          <w:sz w:val="16"/>
          <w:szCs w:val="16"/>
          <w:b w:val="1"/>
          <w:bCs w:val="1"/>
          <w:color w:val="auto"/>
        </w:rPr>
        <w:t>A further list and description of risks and uncertainties can be found in CHAC’s Prospectus dated December 14, 2018 filed with the SEC and in the proxy statement on Schedule 14A that has been filed with the SEC by CHAC in connection with the proposed transaction dated September 23, 2019, and other documents that the parties may file or furnish with the SEC, which you are encouraged to read. Any forward-looking statement made by us in this Current Report is based only on information currently available to CHAC and BiomX and speaks only as of the date on which it is made.</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CHAC and BiomX undertake no obligation to publicly update any forward-looking statement, whether written or oral, that may be made from time to time, whether as a result of new information, future developments or otherwise,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As previously announced, on July 16, 2019, Chardan Healthcare Acquisition Corp. (“CHAC”) entered into a merger agreement (the “Merger Agreement”) with CHAC Merger Sub Ltd., a wholly-owned subsidiary of CHAC (the “Merger Sub”), and BiomX Ltd. (“BiomX”).</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October 11, 2019, CHAC, Merger Sub and BiomX entered into an amendment to the Merger Agreement (the “Amended Merger Agreement”) to reflect the following:</w:t>
      </w:r>
    </w:p>
    <w:p>
      <w:pPr>
        <w:spacing w:after="0" w:line="170" w:lineRule="exact"/>
        <w:rPr>
          <w:sz w:val="20"/>
          <w:szCs w:val="20"/>
          <w:color w:val="auto"/>
        </w:rPr>
      </w:pPr>
    </w:p>
    <w:p>
      <w:pPr>
        <w:ind w:left="660" w:right="5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Among other things, as a condition to the obligations of BiomX to consummate the transactions contemplated by the Merger Agreement, the Aggregate Investment Amount (as defined in the Merger Agreement) shall equal or exceed $55 million.</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agreement of Chardan Investment LLC to cancel up to 500,000 CHAC Shares in the event that the Aggregate Investment Amount (as defined in the Merger Agreement) is less than $70 million at the closing of the Business Combination (as defined in the Merger Agreement) was terminated.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CHAC and BiomX have agreed to extend the Outside Closing Date (as defined in the Merger Agreement) to November 30, 2019.</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p>
      <w:pPr>
        <w:ind w:right="120" w:firstLine="648"/>
        <w:spacing w:after="0" w:line="297" w:lineRule="auto"/>
        <w:rPr>
          <w:sz w:val="20"/>
          <w:szCs w:val="20"/>
          <w:color w:val="auto"/>
        </w:rPr>
      </w:pPr>
      <w:r>
        <w:rPr>
          <w:rFonts w:ascii="Arial" w:cs="Arial" w:eastAsia="Arial" w:hAnsi="Arial"/>
          <w:sz w:val="16"/>
          <w:szCs w:val="16"/>
          <w:color w:val="auto"/>
        </w:rPr>
        <w:t>In addition, the agreement pursuant to which Chardan Securities, LLC agreed to purchase up to $2.5 million of CHAC Shares at the closing of the Business Combination in the event that the Aggregate Investment Amount is less than $50 million has been amended such that Chardan Securities, LLC agrees to purchase up to $2.5 million of CHAC Shares (as defined in the Merger Agreement) at the closing of the Business Combination in the event that the Aggregate Investment Amount is less than $55 million, provided that CHAC shall not be obligated to make such purchases to the extent that the Aggregate Investment Amount is less than $55 million because of the failure of the BiomX shareholders to purchase $23 million of CHAC Shares.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11, 2014, CHAC filed an supplement to its proxy statement on Schedule 14A with the SEC describing these amended terms.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disclosure set forth above in Item 1.01 of this Current Report on Form 8-K is incorporated by reference herein. The securities of CHAC to be issued in connection with the Merger and additional agreements will not be registered under the Securities Act in reliance upon the exemption provided in Section 4(a)</w:t>
      </w:r>
    </w:p>
    <w:p>
      <w:pPr>
        <w:spacing w:after="0"/>
        <w:rPr>
          <w:sz w:val="20"/>
          <w:szCs w:val="20"/>
          <w:color w:val="auto"/>
        </w:rPr>
      </w:pPr>
      <w:r>
        <w:rPr>
          <w:rFonts w:ascii="Arial" w:cs="Arial" w:eastAsia="Arial" w:hAnsi="Arial"/>
          <w:sz w:val="18"/>
          <w:szCs w:val="18"/>
          <w:color w:val="auto"/>
        </w:rPr>
        <w:t>(2) of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Attached as Exhibit 99.1 to this Current Report on Form 8-K and incorporated into this Item 7.01 by reference is a copy of the press release issued October 11, 2019 announcing the amendments to the proposed transaction.</w:t>
      </w:r>
    </w:p>
    <w:p>
      <w:pPr>
        <w:spacing w:after="0" w:line="170"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Exhibit 99.1 is being furnished pursuant to Item 7.01 and shall not be deemed to be filed for purposes of Section 18 of the Exchange Act or otherwise be subject to the liabilities of that section, nor shall it be deemed to be incorporated by reference in any filing under the Securities Act or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80" w:hanging="52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54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7"/>
        </w:trPr>
        <w:tc>
          <w:tcPr>
            <w:tcW w:w="880" w:type="dxa"/>
            <w:vAlign w:val="bottom"/>
            <w:gridSpan w:val="3"/>
          </w:tcPr>
          <w:p>
            <w:pPr>
              <w:spacing w:after="0"/>
              <w:rPr>
                <w:sz w:val="20"/>
                <w:szCs w:val="20"/>
                <w:color w:val="auto"/>
              </w:rPr>
            </w:pPr>
            <w:r>
              <w:rPr>
                <w:rFonts w:ascii="Arial" w:cs="Arial" w:eastAsia="Arial" w:hAnsi="Arial"/>
                <w:sz w:val="18"/>
                <w:szCs w:val="18"/>
                <w:color w:val="auto"/>
              </w:rPr>
              <w:t>No.</w:t>
            </w:r>
          </w:p>
        </w:tc>
        <w:tc>
          <w:tcPr>
            <w:tcW w:w="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7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5"/>
                <w:szCs w:val="15"/>
                <w:color w:val="auto"/>
              </w:rPr>
            </w:pPr>
          </w:p>
        </w:tc>
        <w:tc>
          <w:tcPr>
            <w:tcW w:w="105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w w:val="95"/>
              </w:rPr>
              <w:t>Amendment Agreement, dated as of October 11, 2019, by and among Chardan Healthcare Acquisition Corp., CHAC Merger Sub Ltd.,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rPr>
              <w:t>BiomX Ltd.</w:t>
            </w: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60" w:type="dxa"/>
            <w:vAlign w:val="bottom"/>
          </w:tcPr>
          <w:p>
            <w:pPr>
              <w:spacing w:after="0"/>
              <w:rPr>
                <w:sz w:val="15"/>
                <w:szCs w:val="15"/>
                <w:color w:val="auto"/>
              </w:rPr>
            </w:pPr>
          </w:p>
        </w:tc>
        <w:tc>
          <w:tcPr>
            <w:tcW w:w="272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6"/>
              </w:rPr>
              <w:t>Press Release dated October 14, 2019</w:t>
            </w:r>
          </w:p>
        </w:tc>
        <w:tc>
          <w:tcPr>
            <w:tcW w:w="7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*Furnished but not filed.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HEALTHCARE ACQUISITION CORP.</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w:t>
      </w:r>
    </w:p>
    <w:p>
      <w:pPr>
        <w:spacing w:after="0" w:line="225" w:lineRule="exact"/>
        <w:rPr>
          <w:sz w:val="20"/>
          <w:szCs w:val="20"/>
          <w:color w:val="auto"/>
        </w:rPr>
      </w:pPr>
    </w:p>
    <w:p>
      <w:pPr>
        <w:jc w:val="both"/>
        <w:ind w:right="160" w:firstLine="648"/>
        <w:spacing w:after="0" w:line="258" w:lineRule="auto"/>
        <w:rPr>
          <w:sz w:val="20"/>
          <w:szCs w:val="20"/>
          <w:color w:val="auto"/>
        </w:rPr>
      </w:pPr>
      <w:r>
        <w:rPr>
          <w:rFonts w:ascii="Arial" w:cs="Arial" w:eastAsia="Arial" w:hAnsi="Arial"/>
          <w:sz w:val="18"/>
          <w:szCs w:val="18"/>
          <w:color w:val="auto"/>
        </w:rPr>
        <w:t>THIS AMENDMENT AGREEMENT, dated as of October 10, 2019 (this “</w:t>
      </w:r>
      <w:r>
        <w:rPr>
          <w:rFonts w:ascii="Arial" w:cs="Arial" w:eastAsia="Arial" w:hAnsi="Arial"/>
          <w:sz w:val="18"/>
          <w:szCs w:val="18"/>
          <w:b w:val="1"/>
          <w:bCs w:val="1"/>
          <w:color w:val="auto"/>
        </w:rPr>
        <w:t>Amendment Agreement</w:t>
      </w:r>
      <w:r>
        <w:rPr>
          <w:rFonts w:ascii="Arial" w:cs="Arial" w:eastAsia="Arial" w:hAnsi="Arial"/>
          <w:sz w:val="18"/>
          <w:szCs w:val="18"/>
          <w:color w:val="auto"/>
        </w:rPr>
        <w:t>”), amends the Merger Agreement dated as of July 16, 2019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BiomX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Shareholder Representative Services LLC, as the Shareholders’ Representative (the “</w:t>
      </w:r>
      <w:r>
        <w:rPr>
          <w:rFonts w:ascii="Arial" w:cs="Arial" w:eastAsia="Arial" w:hAnsi="Arial"/>
          <w:sz w:val="18"/>
          <w:szCs w:val="18"/>
          <w:b w:val="1"/>
          <w:bCs w:val="1"/>
          <w:color w:val="auto"/>
        </w:rPr>
        <w:t>Shareholders’ Representative</w:t>
      </w:r>
      <w:r>
        <w:rPr>
          <w:rFonts w:ascii="Arial" w:cs="Arial" w:eastAsia="Arial" w:hAnsi="Arial"/>
          <w:sz w:val="18"/>
          <w:szCs w:val="18"/>
          <w:color w:val="auto"/>
        </w:rPr>
        <w:t>”), Chardan Healthcare Acquisition Corp., a Delaware corporation (the “</w:t>
      </w:r>
      <w:r>
        <w:rPr>
          <w:rFonts w:ascii="Arial" w:cs="Arial" w:eastAsia="Arial" w:hAnsi="Arial"/>
          <w:sz w:val="18"/>
          <w:szCs w:val="18"/>
          <w:b w:val="1"/>
          <w:bCs w:val="1"/>
          <w:color w:val="auto"/>
        </w:rPr>
        <w:t>Purchaser</w:t>
      </w:r>
      <w:r>
        <w:rPr>
          <w:rFonts w:ascii="Arial" w:cs="Arial" w:eastAsia="Arial" w:hAnsi="Arial"/>
          <w:sz w:val="18"/>
          <w:szCs w:val="18"/>
          <w:color w:val="auto"/>
        </w:rPr>
        <w:t>”) and CHAC Merger Sub Ltd., an Israeli company (“</w:t>
      </w:r>
      <w:r>
        <w:rPr>
          <w:rFonts w:ascii="Arial" w:cs="Arial" w:eastAsia="Arial" w:hAnsi="Arial"/>
          <w:sz w:val="18"/>
          <w:szCs w:val="18"/>
          <w:b w:val="1"/>
          <w:bCs w:val="1"/>
          <w:color w:val="auto"/>
        </w:rPr>
        <w:t>Merger Sub</w:t>
      </w:r>
      <w:r>
        <w:rPr>
          <w:rFonts w:ascii="Arial" w:cs="Arial" w:eastAsia="Arial" w:hAnsi="Arial"/>
          <w:sz w:val="18"/>
          <w:szCs w:val="18"/>
          <w:color w:val="auto"/>
        </w:rPr>
        <w:t>”). Any capitalized terms not defined herein and defined in the Merger Agreement have the same meaning as in the Merger Agreement.</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are hereby acknowledged, the parties agree as follows:</w:t>
      </w:r>
    </w:p>
    <w:p>
      <w:pPr>
        <w:spacing w:after="0" w:line="1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16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9.8(a) of the Merger Agreement is hereby amended by deleting the phrase “Thirty Million Dollars ($30,000,000)” and replacing it with “Thirty-Two Million Dollars ($32,000,000)”.</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text of Section 9.8(b) of the Merger Agreement is hereby deleted in its entirety and replaced with the following:</w:t>
      </w:r>
    </w:p>
    <w:p>
      <w:pPr>
        <w:spacing w:after="0" w:line="225" w:lineRule="exact"/>
        <w:rPr>
          <w:rFonts w:ascii="Arial" w:cs="Arial" w:eastAsia="Arial" w:hAnsi="Arial"/>
          <w:sz w:val="18"/>
          <w:szCs w:val="18"/>
          <w:color w:val="auto"/>
        </w:rPr>
      </w:pPr>
    </w:p>
    <w:p>
      <w:pPr>
        <w:ind w:left="1300" w:right="20"/>
        <w:spacing w:after="0" w:line="293" w:lineRule="auto"/>
        <w:rPr>
          <w:rFonts w:ascii="Arial" w:cs="Arial" w:eastAsia="Arial" w:hAnsi="Arial"/>
          <w:sz w:val="18"/>
          <w:szCs w:val="18"/>
          <w:color w:val="auto"/>
        </w:rPr>
      </w:pPr>
      <w:r>
        <w:rPr>
          <w:rFonts w:ascii="Arial" w:cs="Arial" w:eastAsia="Arial" w:hAnsi="Arial"/>
          <w:sz w:val="16"/>
          <w:szCs w:val="16"/>
          <w:color w:val="auto"/>
        </w:rPr>
        <w:t>“Purchaser and the Company shall use their commercially reasonable efforts to cause (i) the immediately available funds contained in the New Investment Escrow Account available for release to Purchaser immediately following the Closing that have been deposited into the New Investment Escrow Account pursuant to the Company Securityholder Purchase Agreements to equal or exceed Twenty Million Dollars ($20,000,000), and (ii) the immediately available funds contained in the New Investment Escrow Account available for release to Purchaser immediately following the Closing that have not been deposited into the New Investment Escrow Account pursuant to the Company Securityholder Purchase Agreements or the Third Party Purchase Agreements to equal or exceed Three Million Dollars ($3,000,000).”</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text of Section 9.10 of the Merger Agreement is hereby deleted in its entirety and replaced by the following:</w:t>
      </w:r>
    </w:p>
    <w:p>
      <w:pPr>
        <w:spacing w:after="0" w:line="225" w:lineRule="exact"/>
        <w:rPr>
          <w:rFonts w:ascii="Arial" w:cs="Arial" w:eastAsia="Arial" w:hAnsi="Arial"/>
          <w:sz w:val="18"/>
          <w:szCs w:val="18"/>
          <w:color w:val="auto"/>
        </w:rPr>
      </w:pPr>
    </w:p>
    <w:p>
      <w:pPr>
        <w:ind w:left="1300" w:right="300"/>
        <w:spacing w:after="0" w:line="30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Dual Listing</w:t>
      </w:r>
      <w:r>
        <w:rPr>
          <w:rFonts w:ascii="Arial" w:cs="Arial" w:eastAsia="Arial" w:hAnsi="Arial"/>
          <w:sz w:val="17"/>
          <w:szCs w:val="17"/>
          <w:color w:val="auto"/>
        </w:rPr>
        <w:t>. Within 60 days following the Closing, the Purchaser’s Board of Directors shall consider whether it is advisable and in the best interests of the Purchaser and its stockholders to list the Purchaser Common Stock on the Tel Aviv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1292" w:hanging="644"/>
        <w:spacing w:after="0"/>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10.2(h) of the Merger Agreement is hereby deleted in its entirety and replaced by the following:</w:t>
      </w:r>
    </w:p>
    <w:p>
      <w:pPr>
        <w:spacing w:after="0" w:line="225" w:lineRule="exact"/>
        <w:rPr>
          <w:rFonts w:ascii="Arial" w:cs="Arial" w:eastAsia="Arial" w:hAnsi="Arial"/>
          <w:sz w:val="18"/>
          <w:szCs w:val="18"/>
          <w:color w:val="auto"/>
        </w:rPr>
      </w:pPr>
    </w:p>
    <w:p>
      <w:pPr>
        <w:ind w:left="1292" w:right="40"/>
        <w:spacing w:after="0" w:line="257" w:lineRule="auto"/>
        <w:rPr>
          <w:rFonts w:ascii="Arial" w:cs="Arial" w:eastAsia="Arial" w:hAnsi="Arial"/>
          <w:sz w:val="18"/>
          <w:szCs w:val="18"/>
          <w:color w:val="auto"/>
        </w:rPr>
      </w:pPr>
      <w:r>
        <w:rPr>
          <w:rFonts w:ascii="Arial" w:cs="Arial" w:eastAsia="Arial" w:hAnsi="Arial"/>
          <w:sz w:val="18"/>
          <w:szCs w:val="18"/>
          <w:color w:val="auto"/>
        </w:rPr>
        <w:t>“The immediately available funds contained in the New Investment Escrow Account available for release to Purchaser immediately following the Closing that have been deposited into the New Investment Escrow Account (i) pursuant to the Company Security Purchase Agreements shall equal or exceed Twenty Million Dollars ($20,000,000) and (ii) pursuant to one or more security purchase agreements that are not Company Securityholder Purchase Agreements or Third Party Purchase Agreements shall equal or exceed Three Million Dollars ($3,000,000).”</w:t>
      </w:r>
    </w:p>
    <w:p>
      <w:pPr>
        <w:spacing w:after="0" w:line="215" w:lineRule="exact"/>
        <w:rPr>
          <w:rFonts w:ascii="Arial" w:cs="Arial" w:eastAsia="Arial" w:hAnsi="Arial"/>
          <w:sz w:val="18"/>
          <w:szCs w:val="18"/>
          <w:color w:val="auto"/>
        </w:rPr>
      </w:pPr>
    </w:p>
    <w:p>
      <w:pPr>
        <w:ind w:left="1292" w:right="140" w:hanging="644"/>
        <w:spacing w:after="0" w:line="277"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10.3(d) of the Merger Agreement is hereby amended by deleting the phrase “Fifty Million Dollars ($50,000,000)” and replacing it with “Fifty-Five Million Dollars ($55,000,000)”.</w:t>
      </w:r>
    </w:p>
    <w:p>
      <w:pPr>
        <w:spacing w:after="0" w:line="197" w:lineRule="exact"/>
        <w:rPr>
          <w:rFonts w:ascii="Arial" w:cs="Arial" w:eastAsia="Arial" w:hAnsi="Arial"/>
          <w:sz w:val="18"/>
          <w:szCs w:val="18"/>
          <w:color w:val="auto"/>
        </w:rPr>
      </w:pPr>
    </w:p>
    <w:p>
      <w:pPr>
        <w:ind w:left="1292" w:hanging="644"/>
        <w:spacing w:after="0"/>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10.3(h) of the Merger Agreement is hereby deleted in its entirety and replaced by the following:</w:t>
      </w:r>
    </w:p>
    <w:p>
      <w:pPr>
        <w:spacing w:after="0" w:line="225" w:lineRule="exact"/>
        <w:rPr>
          <w:rFonts w:ascii="Arial" w:cs="Arial" w:eastAsia="Arial" w:hAnsi="Arial"/>
          <w:sz w:val="18"/>
          <w:szCs w:val="18"/>
          <w:color w:val="auto"/>
        </w:rPr>
      </w:pPr>
    </w:p>
    <w:p>
      <w:pPr>
        <w:ind w:left="1292"/>
        <w:spacing w:after="0" w:line="257" w:lineRule="auto"/>
        <w:rPr>
          <w:rFonts w:ascii="Arial" w:cs="Arial" w:eastAsia="Arial" w:hAnsi="Arial"/>
          <w:sz w:val="18"/>
          <w:szCs w:val="18"/>
          <w:color w:val="auto"/>
        </w:rPr>
      </w:pPr>
      <w:r>
        <w:rPr>
          <w:rFonts w:ascii="Arial" w:cs="Arial" w:eastAsia="Arial" w:hAnsi="Arial"/>
          <w:sz w:val="18"/>
          <w:szCs w:val="18"/>
          <w:color w:val="auto"/>
        </w:rPr>
        <w:t>“The immediately available funds contained in the New Investment Escrow Account available for release to Purchaser immediately following the Closing that have been deposited into the New Investment Escrow Account (i) pursuant to the Company Security Purchase Agreements shall equal or exceed Twenty Million Dollars ($20,000,000), and (ii) pursuant to one or more security purchase agreements that are not Company Securityholder Purchase Agreements or Third Party Purchase Agreements shall equal or exceed Three Million Dollars ($3,000,000).”.”</w:t>
      </w:r>
    </w:p>
    <w:p>
      <w:pPr>
        <w:spacing w:after="0" w:line="215" w:lineRule="exact"/>
        <w:rPr>
          <w:rFonts w:ascii="Arial" w:cs="Arial" w:eastAsia="Arial" w:hAnsi="Arial"/>
          <w:sz w:val="18"/>
          <w:szCs w:val="18"/>
          <w:color w:val="auto"/>
        </w:rPr>
      </w:pPr>
    </w:p>
    <w:p>
      <w:pPr>
        <w:ind w:left="1292" w:right="20" w:hanging="644"/>
        <w:spacing w:after="0" w:line="264"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13.1 of the Merger Agreement is hereby amended by deleting the phrase “October 31, 2019” and replacing it with “November 30, 2019” and deleting the clause “; provided, that if the SEC has not declared the Proxy Statement effective on or prior to September 30, 2019, the Outside Closing Date shall be automatically extended to November 30, 2019” in its entirety.</w:t>
      </w:r>
    </w:p>
    <w:p>
      <w:pPr>
        <w:spacing w:after="0" w:line="181"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Limited Effect; No Modifications</w:t>
      </w:r>
      <w:r>
        <w:rPr>
          <w:rFonts w:ascii="Arial" w:cs="Arial" w:eastAsia="Arial" w:hAnsi="Arial"/>
          <w:sz w:val="18"/>
          <w:szCs w:val="18"/>
          <w:color w:val="auto"/>
        </w:rPr>
        <w:t>. The provisions set forth in Section 1 above shall be limited precisely as written. Nothing contained in this Amendment Agreement will be deemed or construed to otherwise amend, supplement or modify the Merger Agreement or otherwise affect the rights and obligations of any party thereto, all of which remain in full force and effect.</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868" w:right="259" w:bottom="1440" w:gutter="0" w:footer="0" w:header="0"/>
        </w:sectPr>
      </w:pPr>
    </w:p>
    <w:bookmarkStart w:id="7" w:name="page8"/>
    <w:bookmarkEnd w:id="7"/>
    <w:p>
      <w:pPr>
        <w:ind w:left="652" w:hanging="652"/>
        <w:spacing w:after="0"/>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80" w:hanging="644"/>
        <w:spacing w:after="0" w:line="264"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Amendment Agreement shall for all purposes be deemed to be made under and shall be construed in accordance with the laws of the State of Delaware, without giving effect to conflicts of law principles that would result in the application of the substantive laws of another jurisdiction.</w:t>
      </w:r>
    </w:p>
    <w:p>
      <w:pPr>
        <w:spacing w:after="0" w:line="208"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Amendment Agreement shall inure to the benefit of and be binding upon each of the parties and each of their respective successors and assigns.</w:t>
      </w:r>
    </w:p>
    <w:p>
      <w:pPr>
        <w:spacing w:after="0" w:line="197" w:lineRule="exact"/>
        <w:rPr>
          <w:rFonts w:ascii="Arial" w:cs="Arial" w:eastAsia="Arial" w:hAnsi="Arial"/>
          <w:sz w:val="18"/>
          <w:szCs w:val="18"/>
          <w:color w:val="auto"/>
        </w:rPr>
      </w:pPr>
    </w:p>
    <w:p>
      <w:pPr>
        <w:ind w:left="1292" w:hanging="644"/>
        <w:spacing w:after="0"/>
        <w:tabs>
          <w:tab w:leader="none" w:pos="1292"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headings in this Amendment Agreement are for reference only and do not affect the interpretation of this Amendment Agreement.</w:t>
      </w:r>
    </w:p>
    <w:p>
      <w:pPr>
        <w:spacing w:after="0" w:line="263" w:lineRule="exact"/>
        <w:rPr>
          <w:rFonts w:ascii="Arial" w:cs="Arial" w:eastAsia="Arial" w:hAnsi="Arial"/>
          <w:sz w:val="17"/>
          <w:szCs w:val="17"/>
          <w:color w:val="auto"/>
        </w:rPr>
      </w:pPr>
    </w:p>
    <w:p>
      <w:pPr>
        <w:ind w:left="1292" w:right="20" w:hanging="644"/>
        <w:spacing w:after="0" w:line="264"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Amendment Agreement may be executed in counterparts, each of which is deemed an original, but all of which constitutes one and the same agreement. Delivery of an executed counterpart of this Amendment Agreement electronically or by facsimile shall be effective as delivery of an original executed counterpart of this Amendment Agreement.</w:t>
      </w:r>
    </w:p>
    <w:p>
      <w:pPr>
        <w:spacing w:after="0" w:line="208" w:lineRule="exact"/>
        <w:rPr>
          <w:rFonts w:ascii="Arial" w:cs="Arial" w:eastAsia="Arial" w:hAnsi="Arial"/>
          <w:sz w:val="18"/>
          <w:szCs w:val="18"/>
          <w:color w:val="auto"/>
        </w:rPr>
      </w:pPr>
    </w:p>
    <w:p>
      <w:pPr>
        <w:ind w:left="1292" w:right="400" w:hanging="644"/>
        <w:spacing w:after="0" w:line="277" w:lineRule="auto"/>
        <w:tabs>
          <w:tab w:leader="none" w:pos="1292"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party shall pay its own costs and expenses in connection with this Amendment Agreement (including the fees and expenses of its advisors, accounts and legal counsel).</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868"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IN WITNESS WHEREOF, the parties hereto have executed this Amendment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CHARDAN HEALTHCARE ACQUISITION CORP.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126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CHAC MERGER SUB LTD.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126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BIOMX LTD.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126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Shareholders’ Representative: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SHAREHOLDER REPRESENTATIVE SERVICES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solely in its capacity as the Shareholders’ Representative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126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Section 9.10: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CHARDAN INVESTMENTS LLC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25126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68"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Healthcare Acquisition Corp. Announces Amendment to Merger Agreement with BiomX Ltd.</w:t>
      </w:r>
    </w:p>
    <w:p>
      <w:pPr>
        <w:spacing w:after="0" w:line="189"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NEW YORK and NESS ZIONA, Israel, October 11, 2019 /PRNewswire/ -- Chardan Healthcare Acquisition Corp. (NYSE: CHAC, "CHAC"), a special purpose acquisition company ("SPAC") sponsored by affiliates of Chardan Capital Markets LLC ("Chardan") and BiomX Ltd. ("BiomX"), a microbiome company developing both natural and engineered phage therapies, announced today that they entered into an amendment to their definitive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amendment:</w:t>
      </w:r>
    </w:p>
    <w:p>
      <w:pPr>
        <w:spacing w:after="0" w:line="185" w:lineRule="exact"/>
        <w:rPr>
          <w:sz w:val="20"/>
          <w:szCs w:val="20"/>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Investors have committed or are expected to commit to an additional purchase of $5.0 million of CHAC shares. Cornix Advisors, LLC, an affiliate of Chardan, has entered into a securities purchase agreement with a current shareholder of CHAC to purchase $2.0 million of CHAC shares at $10.35 per share. Current shareholders of BiomX are expected to enter into similar share purchase agreements for $3.0 million of CHAC shares, also at $10.35 per share.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minimum closing condition was increased from $50 million to $55 million of cash in CHAC’s escrow trust account available at closing.</w:t>
      </w:r>
    </w:p>
    <w:p>
      <w:pPr>
        <w:spacing w:after="0" w:line="236" w:lineRule="exact"/>
        <w:rPr>
          <w:rFonts w:ascii="Arial" w:cs="Arial" w:eastAsia="Arial" w:hAnsi="Arial"/>
          <w:sz w:val="17"/>
          <w:szCs w:val="17"/>
          <w:color w:val="auto"/>
        </w:rPr>
      </w:pPr>
    </w:p>
    <w:p>
      <w:pPr>
        <w:jc w:val="both"/>
        <w:ind w:left="660" w:right="38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backstop agreement pursuant to which Chardan Securities, LLC agreed to purchase up to $2.5 million of CHAC shares in the event that the aggregate investment amount is less than $50 million has been amended to reflect a new minimum aggregate investment amount of $55 million.</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agreement of Chardan Investment LLC to cancel up to 500,000 CHAC shares in the event that the aggregate investment amount is less than $70 million was terminated.</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copy of the supplement to the definitive proxy statement relating to the amendments described above is available for review on the SEC’s website at www.sec.gov.</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Chardan Healthcare Acquisition Corp.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CHAC is a special purpose acquisition company formed for the purpose of effecting a merger, acquisition, or similar business combination. CHAC</w:t>
      </w:r>
    </w:p>
    <w:p>
      <w:pPr>
        <w:spacing w:after="0" w:line="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raised $70.0 million in December 2018 for the purpose of combining with a public or privately-held operating business. CHAC was founded and sponsored by affiliates of Chardan . CHAC is Chardan's fifth publicly traded acquisition vehicle.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BiomX</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BiomX is a microbiome company developing both natural and engineered phage cocktails designed to target and destroy bacteria that affect the appearance of skin, as well as harmful bacteria in chronic diseases, such as IBD, PSC, and cancer. BiomX discovers and validates proprietary bacterial targets and customizes phage compositions against these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Safe Harbor Language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certain "forward-looking statements" within the meaning of the "safe harbor" provisions of the US Private Securities Litigation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Reform Act of 1995. Forward-looking statements can be identified by words such as: "target," "believe," "expect," "will," "may," "anticipate," "estimate,"</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"would," "positioned," "future," and other similar expressions that predict or indicate future events or trends or that are not statements of historical matters. Examples of forward-looking statements include, among others, statements made in this press release regarding the proposed business combination, including the anticipated initial enterprise value and post-closing equity value, the benefits of the proposed business combination, integration plans, expected synergies and revenue opportunities, anticipated future financial and operating performance and results, including estimates for growth, the expected management and governance of the combined company, and the expected timing of the proposed transactions contemplated by the definitive agreement. Forward-looking statements are neither historical facts nor assurances of future performance. Instead, they are based only on CHAC and BiomX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 Important factors that could cause actual results and outcomes to differ materially from those indicated in the forward-looking statements include, among others, the following: (1) the occurrence of any event that could give rise to the termination of the agreement with respect to the business combination; (2) the outcome of any legal proceedings that may be instituted against CHAC, the combined company, or others following the announcement of the business combination and the business combination agreement; (3) the inability to complete the business combination due to the failure to obtain approval of CHAC's stockholders or to satisfy other conditions to closing in the business combination agreement; (4) changes to the proposed structure of the business combination that may be required or appropriate as a result of applicable laws; (5) the ability to meet NYSE American listing standards following the consummation of the business combination; (6) the risk that the business combination disrupts current plans and operations of BiomX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third parties and partners, obtain adequate supply of raw materials and retain its management and key employees; (8) costs related to the business combination; (9) changes in applicable laws or regulations; (10) the possibility that BiomX or the combined company may be adversely affected by other economic, business, regulatory, and/or competitive factors; (11) BiomX estimates of expenses; (12) the impact of foreign currency exchange rates and interest rates fluctuations on the results of BiomX or the combined company; and (13) other risks and uncertainties indicated in the proxy statement of CHAC filed by CHAC with the SEC in connection with the business combination, including those under "Risk Factors" therein, and other documents filed or to be filed from time to time with the SEC by CHAC. A further list and description of risks and uncertainties can be found in CHAC's Prospectus dated December 14, 2018 filed with the SEC and in the proxy statement on Schedule 14A that was filed with the SEC by CHAC in connection with the proposed transaction, and other documents that the parties may file or furnish with the SEC, which you are encouraged to read. Any forward-looking statement made by us in this press release is based only on information currently available to CHAC and BiomX and speaks only as of the date on which it is made. CHAC and BiomX undertake no obligation to publicly update any forward-looking statement, whether written or oral, that may be made from time to time,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Important Information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BiomX Ltd. ("BiomX"), Chardan Healthcare Acquisition Corp. ("CHAC"), and their respective directors, executive officers and employees and other persons may be deemed to be participants in the solicitation of proxies from the holders of CHAC common stock in respect of the proposed transaction described herein. Information about CHAC's directors and executive officers and their ownership of CHAC's common stock is set forth in CHAC's definitive proxy statement filed with the SEC, as modified or supplemented by any Form 3 or Form 4 filed with the SEC since the date of such filing. These documents can be obtained free of charge from the sources indicated below.</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transaction described herein, CHAC has filed relevant materials with the SEC including a proxy statement on Schedule 14A and a supplement to the proxy statement on Schedule 14A. CHAC has mailed the definitive proxy statement and a proxy card to each stockholder entitled to vote at the special meeting relating to the transaction, and the supplement is available for review on the SEC’s website. INVESTORS AND SECURITY HOLDERS OF CHAC ARE URGED TO READ THESE MATERIALS (INCLUDING ANY AMENDMENTS OR SUPPLEMENTS THERETO) AND ANY OTHER RELEVANT DOCUMENTS IN CONNECTION WITH THE TRANSACTION THAT CHAC WILL FILE WITH THE SEC WHEN THEY BECOME AVAILABLE BECAUSE THEY WILL CONTAIN IMPORTANT INFORMATION ABOUT CHAC, BIOMX AND THE TRANSACTION. The definitive proxy statement and other relevant materials in connection with the transaction (when they become available), and any other documents filed by CHAC with the SEC, may be obtained free of charge at the SEC's website (www.sec.gov) or by writing to Chardan Healthcare Acquisition Corp., 17 State Street, 21st Floor, New York, NY 10004.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CHAC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Chardan Healthcare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+1-212-920-9000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grossmanj@chardanspac.com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BiomX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Assaf Oron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BiomX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+972-54-2228901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assafo@biomx.com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 Biran,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+1-781-235-3060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biomx@macbiocom.com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Chardan Healthcare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105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4"/>
    </w:lvl>
  </w:abstractNum>
  <w:abstractNum w:abstractNumId="7">
    <w:nsid w:val="5BD062C2"/>
    <w:multiLevelType w:val="hybridMultilevel"/>
    <w:lvl w:ilvl="0">
      <w:lvlJc w:val="left"/>
      <w:lvlText w:val="%1."/>
      <w:numFmt w:val="decimal"/>
      <w:start w:val="2"/>
    </w:lvl>
    <w:lvl w:ilvl="1">
      <w:lvlJc w:val="left"/>
      <w:lvlText w:val="%2"/>
      <w:numFmt w:val="lowerLetter"/>
      <w:start w:val="1"/>
    </w:lvl>
  </w:abstractNum>
  <w:abstractNum w:abstractNumId="8">
    <w:nsid w:val="12200854"/>
    <w:multiLevelType w:val="hybridMultilevel"/>
    <w:lvl w:ilvl="0">
      <w:lvlJc w:val="left"/>
      <w:lvlText w:val="%1."/>
      <w:numFmt w:val="decimal"/>
      <w:start w:val="3"/>
    </w:lvl>
    <w:lvl w:ilvl="1">
      <w:lvlJc w:val="left"/>
      <w:lvlText w:val="%2)"/>
      <w:numFmt w:val="lowerLetter"/>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2020-01-09T02:57:35Z</dcterms:created>
  <dcterms:modified xsi:type="dcterms:W3CDTF">2020-01-09T02:57:35Z</dcterms:modified>
</cp:coreProperties>
</file>