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1100"/>
        <w:spacing w:after="0"/>
        <w:tabs>
          <w:tab w:leader="none" w:pos="200" w:val="left"/>
        </w:tabs>
        <w:rPr>
          <w:sz w:val="20"/>
          <w:szCs w:val="20"/>
          <w:color w:val="auto"/>
        </w:rPr>
      </w:pPr>
      <w:r>
        <w:rPr>
          <w:rFonts w:ascii="Times New Roman" w:cs="Times New Roman" w:eastAsia="Times New Roman" w:hAnsi="Times New Roman"/>
          <w:sz w:val="18"/>
          <w:szCs w:val="18"/>
          <w:i w:val="1"/>
          <w:iCs w:val="1"/>
          <w:color w:val="auto"/>
        </w:rPr>
        <w:t>Proxy Statement Pursuant to Section 14(a) of the Securities Exchange Act of 1934 (Amendment No.</w:t>
        <w:tab/>
        <w:t>)</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right="4059" w:firstLine="8"/>
        <w:spacing w:after="0" w:line="216" w:lineRule="exact"/>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BIOMX INC.</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(Name of Registrant as Specified In Its Charter)</w:t>
      </w:r>
    </w:p>
    <w:p>
      <w:pPr>
        <w:spacing w:after="0" w:line="200" w:lineRule="exact"/>
        <w:rPr>
          <w:sz w:val="24"/>
          <w:szCs w:val="24"/>
          <w:color w:val="auto"/>
        </w:rPr>
      </w:pPr>
    </w:p>
    <w:p>
      <w:pPr>
        <w:spacing w:after="0" w:line="221"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i w:val="1"/>
          <w:iCs w:val="1"/>
          <w:color w:val="auto"/>
        </w:rPr>
        <w:t>(Name of Person(s) Filing Proxy Statement, if other than the Registrant)</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850 New Burton Road, Suite 201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Dover, DE 19904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26,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Stockholders of BiomX Inc.:</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are cordially invited to attend the 2026 Annual Meeting of Stockholders (the “Annual Meeting”) of BiomX Inc., a Delaware corporation (the “Company”), to be held on June 26, 2026 at 9 a.m. Eastern Time. The Annual Meeting will be held in a virtual meeting format only, via live webcast at https://www.cstproxy.com/biomx/am2026. You will not be able to attend the Annual Meeting in person. The Annual Meeting is being held for the following purposes: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1 — Election of Directors. </w:t>
      </w:r>
      <w:r>
        <w:rPr>
          <w:rFonts w:ascii="Times New Roman" w:cs="Times New Roman" w:eastAsia="Times New Roman" w:hAnsi="Times New Roman"/>
          <w:sz w:val="18"/>
          <w:szCs w:val="18"/>
          <w:color w:val="auto"/>
        </w:rPr>
        <w:t>To elect Ran Shaked, the Company’s sole Class III director, to serve until the 2029 Annual Meeting of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until his successor has been duly elected and qualified;</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Proposal 2 — Approval of an Amendment to the BiomX Inc. 2026 Equity Incentive Plan. </w:t>
      </w:r>
      <w:r>
        <w:rPr>
          <w:rFonts w:ascii="Times New Roman" w:cs="Times New Roman" w:eastAsia="Times New Roman" w:hAnsi="Times New Roman"/>
          <w:sz w:val="18"/>
          <w:szCs w:val="18"/>
          <w:color w:val="auto"/>
        </w:rPr>
        <w:t>To approve an amendment to the BiomX Inc. 2026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Plan (the “2026 Plan”) to increase the number of shares of Common Stock reserved and available for issuance thereunder by 5,460,000 shares, to 6,850,000 shares from 1,390,000 shares, as more fully described in the accompanying Proxy Statement; and</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3 — Adjournment Proposal. </w:t>
      </w:r>
      <w:r>
        <w:rPr>
          <w:rFonts w:ascii="Times New Roman" w:cs="Times New Roman" w:eastAsia="Times New Roman" w:hAnsi="Times New Roman"/>
          <w:sz w:val="18"/>
          <w:szCs w:val="18"/>
          <w:color w:val="auto"/>
        </w:rPr>
        <w:t>To approve the adjournment of the Annual Meeting, if necessary or appropriate, to solicit additional proxies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that there are insufficient votes at the time of the Annual Meeting to approve any of the foregoing proposals.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also transact such other business as may properly come before the Annual Meeting or any adjournment or postponement thereof.</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of the Company (the “Board”) has fixed the close of business on June 2, 2026 as the record date (the “Record Date”) for the determination of stockholders entitled to notice of, and to vote at, the Annual Meeting and any adjournment or postponement thereof. Only stockholders of record at the close of business on the Record Date are entitled to notice of, and to vote at, the Annual Meeting.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unanimously recommends that you vote “FOR” the nominee in Proposal 1 and “FOR” each of Proposals 2 and 3. Your vote is very important. Whether or not you expect to attend the Annual Meeting virtually, we urge you to vote your shares as promptly as possible by completing, signing, dating and returning the enclosed proxy card, or by submitting your proxy by telephone or over the Internet as described in the accompanying Proxy Statement. If you attend the Annual Meeting and wish to vote your shares during the meeting, you may revoke your proxy at that time and vote during the meeting.</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STOCKHOLDERS TO BE HELD ON JUNE 26, 2026: This notice, the proxy statement, the form of proxy and the Company’s Annual Report on Form 10-K for the fiscal year ended December 31, 2025 are available at https://www.cstproxy.com/biomx/am2026.</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Oster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Dover,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8, 2026</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850 New Burton Road, Suite 201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Dover, DE 19904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26,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Proxy Statement is being furnished to stockholders of BiomX Inc., a Delaware corporation (the “Company,” “BiomX,” “we,” “us” or “our”), in connection with the solicitation of proxies by the Board of Directors of the Company (the “Board”) for use at the 2026 Annual Meeting of Stockholders (the “Annual Meeting”) to be held on June 26, 2026 at 9 a.m. Eastern Time, or any adjournment or postponement thereof. The Annual Meeting will be held entirely online to allow for greater participation. Stockholders may participate in the Annual Meeting by visiting the following hosting URL: https://www.cstproxy.com/biomx/am2026. This Proxy Statement, the accompanying proxy card and the Company’s Annual Report on Form 10-K for the fiscal year ended December 31, 2025 are first being mailed to stockholders on or about June 8, 2026.</w:t>
      </w:r>
    </w:p>
    <w:p>
      <w:pPr>
        <w:spacing w:after="0" w:line="18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QUESTIONS AND ANSWERS ABOUT THE ANNUAL MEETING AND VOTING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am I receiving these proxy materials?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are receiving these proxy materials because the Board is soliciting your proxy to vote at the Annual Meeting. This Proxy Statement summarizes the information you need to vote at the Annual Meeting. You do not need to attend the Annual Meeting to vote your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being voted on at the Annual Meeting?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stockholders are being asked to consider and vote on three proposals: (1) the election of Ran Shaked, the Company’s sole Class III director, to a three-year term; (2) the approval of an amendment to the BiomX Inc. 2026 Equity Incentive Plan to increase the number of shares of Common Stock reserved and available for issuance thereunder by 5,460,000 shares, to 6,850,000 shares from 1,390,000 shares; and (3) the approval of an adjournment of the Annual Meeting, if necessary or appropriate, to solicit additional proxies.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Stockholders of record at the close of business on June 2, 2026 (the “Record Date”) are entitled to notice of, and to vote at, the Annual Meeting. Each share of Common Stock entitles the holder thereof to one vote on each matter submitted to a vote of stockholders. As of the Record Date, there were 11,160,153 shares of Common Stock outstanding and entitled to vote.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constitutes a quorum?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presence, in person (virtually) or by proxy, of stockholders holding at least one-third (1/3) of the outstanding shares of Common Stock entitled to vote at the Annual Meeting shall constitute a quorum for the transaction of business. Abstentions will be counted as present for purposes of determining whether a quorum is present. Because none of the proposals to be acted upon at the Annual Meeting is a routine matter, brokers and other nominees that hold shares in street name will not have discretionary authority to vote those shares on any proposal without instructions from the beneficial owner, and shares for which no voting instructions are received will not be counted as present for purposes of determining a quorum.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proposal?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1 (Election of Directors): </w:t>
      </w:r>
      <w:r>
        <w:rPr>
          <w:rFonts w:ascii="Times New Roman" w:cs="Times New Roman" w:eastAsia="Times New Roman" w:hAnsi="Times New Roman"/>
          <w:sz w:val="18"/>
          <w:szCs w:val="18"/>
          <w:color w:val="auto"/>
        </w:rPr>
        <w:t>Directors are elected by a plurality of the votes cast, which means that the nominee receiving the highest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votes will be elected. Only “FOR” and “WITHHOLD” votes will affect the outcome. Abstentions will have no effect on the election of directors.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Proposal 2 (Approval of the Amendment to the 2026 Equity Incentive Plan): </w:t>
      </w:r>
      <w:r>
        <w:rPr>
          <w:rFonts w:ascii="Times New Roman" w:cs="Times New Roman" w:eastAsia="Times New Roman" w:hAnsi="Times New Roman"/>
          <w:sz w:val="18"/>
          <w:szCs w:val="18"/>
          <w:color w:val="auto"/>
        </w:rPr>
        <w:t>The affirmative vote of the holders of a majority of the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present in person (virtually) or represented by proxy at the Annual Meeting and entitled to vote thereon is required for approval. Abstentions will have the same effect as votes “AGAINST” the proposal.</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Proposal 3 (Adjournment Proposal): </w:t>
      </w:r>
      <w:r>
        <w:rPr>
          <w:rFonts w:ascii="Times New Roman" w:cs="Times New Roman" w:eastAsia="Times New Roman" w:hAnsi="Times New Roman"/>
          <w:sz w:val="18"/>
          <w:szCs w:val="18"/>
          <w:color w:val="auto"/>
        </w:rPr>
        <w:t>The affirmative vote of the holders of a majority of the shares of Common Stock present in person (virtually)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represented by proxy at the Annual Meeting and entitled to vote thereon is required for approval. Abstentions will have the same effect as votes “AGAINST” the proposal.</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How does the Board recommend that I vote?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recommends that you vote “FOR” the director nominee in Proposal 1 and “FOR” each of Proposals 2 and 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vote my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are a stockholder of record, you may vote by: (1) completing, signing, dating and returning the enclosed proxy card in the postage-prepaid envelope provided; (2) voting by telephone by calling the number provided on the proxy card and following the instructions; (3) voting over the Internet by visiting the website indicated on the proxy card and following the instructions; or (4) attending the Annual Meeting virtually and voting during the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or revoke my proxy?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Yes. If you are a stockholder of record, you may revoke your proxy at any time before it is voted at the Annual Meeting by: (1) delivering a written notice of revocation to the Secretary of the Company; (2) submitting a later-dated proxy by mail, telephone, or Internet; or (3) attending the Annual Meeting virtually and voting during the meeting. Attendance at the Annual Meeting alone will not revoke a proxy.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if I do not vote or if I abstain?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are a stockholder of record and you do not vote, your shares will not be counted for purposes of determining whether a quorum is present or for purposes of determining the outcome of the proposals. If you abstain, your shares will be counted for quorum purposes and will have the same effect as a vote “AGAINST” each proposal.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will bear the cost of soliciting proxies. In addition to solicitation by mail, proxies may be solicited by directors, officers and employees of the Company, without additional compensation, personally or by telephone, e-mail or other means of communication. The Company will also reimburse banks, brokers, nominees, custodians and fiduciaries for reasonable expenses incurred in forwarding proxy materials to beneficial owners of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 the Company’s Annual Report available?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Yes. The Company’s Annual Report on Form 10-K for the fiscal year ended December 31, 2025, which includes our audited consolidated financial statements, accompanies these proxy materials and is available at the hosting URL above and on the SEC’s website at www.sec.gov and on the Company’s website at www.biomx.com under the “Investors” section. The Annual Report is not incorporated by reference into, and is not a part of, this Proxy Statement.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for a classified Board consisting of three classes of directors, designated Class I, Class II and Class III, with the classes serving staggered three-year terms. Our Board currently consists of four directors. Class I (whose term expires at the 2027 Annual Meeting of Stockholders) currently consists of Reuven Yeganeh; Class II (whose term expires at the 2028 Annual Meeting of Stockholders) currently consists of Liat Bidas and Guy Arieli; and Class III (whose term expires at the Annual Meeting) currently consists of Ran Shaked.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At the Annual Meeting, the director in the class whose term expires is to be elected to serve for a new three-year term. Accordingly, Ran Shaked is nominated for election as a Class III director to serve until the 2029 Annual Meeting of Stockholders and until his successor has been duly elected and qualified, or until his earlier death, resignation or removal.</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provides that vacancies on the Board may be filled only by persons elected by a majority of the remaining directors. A director elected by the Board to fill a vacancy in a class, including a vacancy created by an increase in the number of directors, shall serve for the remainder of the full term of that class and until the director’s successor is duly elected and qualified. The nominee is currently serving on our Board and has consented to be named in this Proxy Statement and to serve if elected. If the nominee is unable or does not qualify to serve, you or your proxy may vote for another nominee proposed by the Board. The Board has no reason to believe that the nominee would be unable to serve if elected.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10"/>
        </w:trPr>
        <w:tc>
          <w:tcPr>
            <w:tcW w:w="6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Director</w:t>
            </w:r>
          </w:p>
        </w:tc>
      </w:tr>
      <w:tr>
        <w:trPr>
          <w:trHeight w:val="245"/>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3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Age</w:t>
            </w: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Expiring</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Since</w:t>
            </w:r>
          </w:p>
        </w:tc>
      </w:tr>
      <w:tr>
        <w:trPr>
          <w:trHeight w:val="198"/>
        </w:trPr>
        <w:tc>
          <w:tcPr>
            <w:tcW w:w="630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Ran Shaked</w:t>
            </w: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330"/>
              <w:spacing w:after="0" w:line="198" w:lineRule="exact"/>
              <w:rPr>
                <w:sz w:val="20"/>
                <w:szCs w:val="20"/>
                <w:color w:val="auto"/>
              </w:rPr>
            </w:pPr>
            <w:r>
              <w:rPr>
                <w:rFonts w:ascii="Times New Roman" w:cs="Times New Roman" w:eastAsia="Times New Roman" w:hAnsi="Times New Roman"/>
                <w:sz w:val="18"/>
                <w:szCs w:val="18"/>
                <w:color w:val="auto"/>
              </w:rPr>
              <w:t>44</w:t>
            </w:r>
          </w:p>
        </w:tc>
        <w:tc>
          <w:tcPr>
            <w:tcW w:w="2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Class III</w:t>
            </w: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2029</w:t>
            </w: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February</w:t>
            </w:r>
          </w:p>
        </w:tc>
      </w:tr>
      <w:tr>
        <w:trPr>
          <w:trHeight w:val="234"/>
        </w:trPr>
        <w:tc>
          <w:tcPr>
            <w:tcW w:w="6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2026</w:t>
            </w:r>
          </w:p>
        </w:tc>
      </w:tr>
      <w:tr>
        <w:trPr>
          <w:trHeight w:val="27"/>
        </w:trPr>
        <w:tc>
          <w:tcPr>
            <w:tcW w:w="6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Biographical information regarding the nominee, and regarding each director whose term continues after the Annual Meeting, is set forth under “Board of Directors and Executive Officers”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are elected by a plurality of the votes cast at the Annual Meeting. The nominee receiving the highest number of “FOR” votes will be elected.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“FOR” and “WITHHOLD” votes will affect the outcome. Abstentions will have no effect on the election of directors.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jc w:val="center"/>
        <w:ind w:left="340" w:right="28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THAT STOCKHOLDERS VOTE “FOR” THE ELECTION OF THE DIRECTOR NOMINEE (PROPOSAL 1).</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Committee has appointed Kesselman &amp; Kesselman, Certified Public Accountants (Isr.), a member firm of PricewaterhouseCoopers International Limited (PCAOB ID: 1309) (the “Independent Auditors”), as our independent registered public accounting firm for the fiscal year ending December 31, 2026. We do not expect a representative of the Independent Auditors to attend the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Audit Committee approves all audit services and pre-approves all non-audit services provided by our independent registered public accounting firm before it is engaged by us to render non-audit services. These services may include audit-related services, tax services and other services. The pre-approval requirement set forth above does not apply with respect to non-audit services if: (i) all such services do not, in the aggregate, amount to more than 5% of the total fees paid by us to our independent registered public accounting firm during the fiscal year in which the services are provided; (ii) such services were not recognized as non-audit services at the time of the relevant engagement; and (iii) such services are promptly brought to the attention of and approved by the Audit Committee (or its delegate) prior to the completion of the annual audit.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fees billed for professional services rendered by Kesselman &amp; Kesselman, Certified Public Accountants (Isr.), a member firm of PricewaterhouseCoopers International Limited, during the fiscal years ended December 31, 2025 and December 31,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Fee Category</w:t>
            </w: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 ($)</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856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190,000</w:t>
            </w:r>
          </w:p>
        </w:tc>
        <w:tc>
          <w:tcPr>
            <w:tcW w:w="0" w:type="dxa"/>
            <w:vAlign w:val="bottom"/>
          </w:tcPr>
          <w:p>
            <w:pPr>
              <w:spacing w:after="0"/>
              <w:rPr>
                <w:sz w:val="1"/>
                <w:szCs w:val="1"/>
                <w:color w:val="auto"/>
              </w:rPr>
            </w:pPr>
          </w:p>
        </w:tc>
      </w:tr>
      <w:tr>
        <w:trPr>
          <w:trHeight w:val="283"/>
        </w:trPr>
        <w:tc>
          <w:tcPr>
            <w:tcW w:w="868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 xml:space="preserve">Audit-related fees </w:t>
            </w:r>
            <w:r>
              <w:rPr>
                <w:rFonts w:ascii="Times New Roman" w:cs="Times New Roman" w:eastAsia="Times New Roman" w:hAnsi="Times New Roman"/>
                <w:sz w:val="29"/>
                <w:szCs w:val="29"/>
                <w:color w:val="auto"/>
                <w:vertAlign w:val="superscript"/>
              </w:rPr>
              <w:t>(2)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158,462</w:t>
            </w:r>
          </w:p>
        </w:tc>
        <w:tc>
          <w:tcPr>
            <w:tcW w:w="0" w:type="dxa"/>
            <w:vAlign w:val="bottom"/>
          </w:tcPr>
          <w:p>
            <w:pPr>
              <w:spacing w:after="0"/>
              <w:rPr>
                <w:sz w:val="1"/>
                <w:szCs w:val="1"/>
                <w:color w:val="auto"/>
              </w:rPr>
            </w:pPr>
          </w:p>
        </w:tc>
      </w:tr>
      <w:tr>
        <w:trPr>
          <w:trHeight w:val="283"/>
        </w:trPr>
        <w:tc>
          <w:tcPr>
            <w:tcW w:w="868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 xml:space="preserve">Tax fees </w:t>
            </w:r>
            <w:r>
              <w:rPr>
                <w:rFonts w:ascii="Times New Roman" w:cs="Times New Roman" w:eastAsia="Times New Roman" w:hAnsi="Times New Roman"/>
                <w:sz w:val="29"/>
                <w:szCs w:val="29"/>
                <w:color w:val="auto"/>
                <w:vertAlign w:val="superscript"/>
              </w:rPr>
              <w:t>(3)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7,190</w:t>
            </w:r>
          </w:p>
        </w:tc>
        <w:tc>
          <w:tcPr>
            <w:tcW w:w="0" w:type="dxa"/>
            <w:vAlign w:val="bottom"/>
          </w:tcPr>
          <w:p>
            <w:pPr>
              <w:spacing w:after="0"/>
              <w:rPr>
                <w:sz w:val="1"/>
                <w:szCs w:val="1"/>
                <w:color w:val="auto"/>
              </w:rPr>
            </w:pPr>
          </w:p>
        </w:tc>
      </w:tr>
      <w:tr>
        <w:trPr>
          <w:trHeight w:val="270"/>
        </w:trPr>
        <w:tc>
          <w:tcPr>
            <w:tcW w:w="868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 xml:space="preserve">All other fees </w:t>
            </w:r>
            <w:r>
              <w:rPr>
                <w:rFonts w:ascii="Times New Roman" w:cs="Times New Roman" w:eastAsia="Times New Roman" w:hAnsi="Times New Roman"/>
                <w:sz w:val="29"/>
                <w:szCs w:val="29"/>
                <w:color w:val="auto"/>
                <w:vertAlign w:val="superscript"/>
              </w:rPr>
              <w:t>(4)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8680" w:type="dxa"/>
            <w:vAlign w:val="bottom"/>
            <w:gridSpan w:val="2"/>
            <w:vMerge w:val="continue"/>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226,393</w:t>
            </w:r>
          </w:p>
        </w:tc>
        <w:tc>
          <w:tcPr>
            <w:tcW w:w="0" w:type="dxa"/>
            <w:vAlign w:val="bottom"/>
          </w:tcPr>
          <w:p>
            <w:pPr>
              <w:spacing w:after="0"/>
              <w:rPr>
                <w:sz w:val="1"/>
                <w:szCs w:val="1"/>
                <w:color w:val="auto"/>
              </w:rPr>
            </w:pPr>
          </w:p>
        </w:tc>
      </w:tr>
      <w:tr>
        <w:trPr>
          <w:trHeight w:val="21"/>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10" w:lineRule="auto"/>
        <w:tabs>
          <w:tab w:leader="none" w:pos="34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“Audit Fees” consist of fees billed for professional services rendered for the audit of our annual financial statements and review of the interim financial statements included in our quarterly reports, and services that are normally provided by Kesselman &amp; Kesselman in connection with statutory and regulatory filings or engagements.</w:t>
      </w:r>
    </w:p>
    <w:p>
      <w:pPr>
        <w:spacing w:after="0" w:line="2" w:lineRule="exact"/>
        <w:rPr>
          <w:rFonts w:ascii="Times New Roman" w:cs="Times New Roman" w:eastAsia="Times New Roman" w:hAnsi="Times New Roman"/>
          <w:sz w:val="30"/>
          <w:szCs w:val="30"/>
          <w:color w:val="auto"/>
          <w:vertAlign w:val="superscript"/>
        </w:rPr>
      </w:pPr>
    </w:p>
    <w:p>
      <w:pPr>
        <w:ind w:left="340" w:hanging="332"/>
        <w:spacing w:after="0" w:line="187" w:lineRule="auto"/>
        <w:tabs>
          <w:tab w:leader="none" w:pos="34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“Audit-Related Fees” consist of fees billed for assurance and related services that are reasonably related to the performance of the audit or review of our financial statements and that are not reported under “Audit Fees.”</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0" w:lineRule="auto"/>
        <w:tabs>
          <w:tab w:leader="none" w:pos="340" w:val="left"/>
        </w:tabs>
        <w:numPr>
          <w:ilvl w:val="0"/>
          <w:numId w:val="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“Tax Fees” consist of fees billed for tax compliance, tax advice, and tax planning.</w:t>
      </w:r>
    </w:p>
    <w:p>
      <w:pPr>
        <w:spacing w:after="0" w:line="2" w:lineRule="exact"/>
        <w:rPr>
          <w:rFonts w:ascii="Times New Roman" w:cs="Times New Roman" w:eastAsia="Times New Roman" w:hAnsi="Times New Roman"/>
          <w:sz w:val="25"/>
          <w:szCs w:val="25"/>
          <w:color w:val="auto"/>
          <w:vertAlign w:val="superscript"/>
        </w:rPr>
      </w:pPr>
    </w:p>
    <w:p>
      <w:pPr>
        <w:ind w:left="340" w:hanging="332"/>
        <w:spacing w:after="0" w:line="187" w:lineRule="auto"/>
        <w:tabs>
          <w:tab w:leader="none" w:pos="34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“All Other Fees” consist of fees billed for products and services other than the services reported under “Audit Fees,” “Audit-Related Fees,” and “Tax Fees.”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5" w:lineRule="exact"/>
        <w:rPr>
          <w:sz w:val="20"/>
          <w:szCs w:val="20"/>
          <w:color w:val="auto"/>
        </w:rPr>
      </w:pPr>
    </w:p>
    <w:p>
      <w:pPr>
        <w:jc w:val="center"/>
        <w:ind w:left="340" w:right="100"/>
        <w:spacing w:after="0" w:line="286" w:lineRule="auto"/>
        <w:rPr>
          <w:sz w:val="20"/>
          <w:szCs w:val="20"/>
          <w:color w:val="auto"/>
        </w:rPr>
      </w:pPr>
      <w:r>
        <w:rPr>
          <w:rFonts w:ascii="Times New Roman" w:cs="Times New Roman" w:eastAsia="Times New Roman" w:hAnsi="Times New Roman"/>
          <w:sz w:val="18"/>
          <w:szCs w:val="18"/>
          <w:b w:val="1"/>
          <w:bCs w:val="1"/>
          <w:color w:val="auto"/>
        </w:rPr>
        <w:t>APPROVAL OF AN AMENDMENT TO THE BIOMX INC. 2026 EQUITY INCENTIVE PLAN TO INCREASE THE NUMBER OF SHARES OF COMMON STOCK RESERVED AND AVAILABLE FOR ISSUANCE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May 27, 2026, our Compensation Committee and our Board of Directors authorized and approved an amendment (the “Amendment”) to the BiomX Inc. 2026 Equity Incentive Plan (the “2026 Plan”) to increase the number of shares of Common Stock reserved and available for issuance under the 2026 Plan to 6,850,000 shares from 1,390,000 shares, subject to stockholder approval.</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2026 Plan was approved by our Board of Directors and our stockholders on April 10, 2026, with an initial reserve of 1,390,000 shares of Common Stock, subject to the automatic annual increase described below, and replaced our Amended and Restated 2019 Omnibus Long-Term Incentive Plan (the “Prior Plan”) as our equity compensation plan for new awards. We are now seeking stockholder approval to amend our 2026 Plan to increase the number of shares of Common Stock available for issuance to 6,850,000 shares so that the Company can continue to provide equity-based compensation as approved by our Compensation Committee.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Reasons for the Amendment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seeking stockholder approval to amend our 2026 Plan to increase the number of shares of Common Stock issuable thereunder to 6,850,000 shares. As of the Record Date, there were 30,000 shares of Common Stock remaining available for issuance under future awards to be made under our 2026 Plan. If our stockholders do not approve the Amendment, we anticipate that there will not be sufficient shares available under our 2026 Plan for continued equity awards to our employees, officers, directors and other service providers over the next few years. This would result in the loss of an important compensation tool aligned with stockholder interests to attract, motivate and retain highly qualified talent.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recognize the dilutive impact of our equity compensation program on our stockholders and continuously strive to balance this concern with the competition for talent in the business environment and talent market in which we operate. In determining the appropriate number of shares to request and add to the pool of shares available for issuance pursuant to the Amendment, our Board and Compensation Committee worked with management to evaluate a number of factors, and carefully considered (i) the potential dilutive impact on stockholders, (ii) our historical run rate and overhang, (iii) the number of shares remaining available for issuance, (iv) forecasted grants, (v) the role of equity awards as a key component in designing competitive compensation packages necessary for attracting and retaining key talent, (vi) our strategic growth plans, and (vii) the interests of our stockholders.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2026 Plan is designed to attract and retain employees, officers, directors and other service providers and to reward them for making contributions to the success of the Company and its subsidiaries. Stockholder approval of this proposal will enable us to continue to grant equity awards at levels determined by our Board and Compensation Committee to be necessary to attract, retain and motivate the individuals who will be critical to our success, and serves the important function of aligning the interests of participants with those of our stockholders and focusing those participants on the long-term growth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Amendment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full text of the proposed Amendment to our 2026 Plan is set forth in Appendix A to this Proxy Statement. The full text of our 2026 Plan (prior to the Amendment described in this Proposal 2) is set forth in Appendix B.</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principal features of the 2026 Plan, as proposed to be amended by the Amendment. This summary does not purport to be complete and is qualified in its entirety by reference to the full text of the 2026 Plan and the Amendment.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Authorized Shares. A total of 1,390,000 shares of Common Stock were initially reserved for issuance under the 2026 Plan, subject to the Evergreen Mechanism described below. If this proposal is approved, the number of shares of Common Stock reserved and available for issuance under the 2026 Plan will be increased to 6,850,000 shares, subject to the Evergreen Mechanism. The 2026 Plan provides for an automatic annual increase (the “Evergreen Mechanism”) on January 1 of each year, for a period of ten years, commencing January 1, 2027 and ending January 1, 2036, in an amount equal to 4% of the total number of shares of Common Stock outstanding on December 31 of the preceding calendar year, provided that the Board may act prior to a given January 1 to provide that there will be no increase for that year or a lesser increase. Shares of Common Stock subject to awards that expire, are forfeited, cancelled, settled in cash, or are withheld to pay the exercise or purchase price of an award or to satisfy tax withholding obligations return to the share pool and become available for future awards. Shares issued under the 2026 Plan are drawn from authorized and unissued shares or treasury shares.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Types of Awards. </w:t>
      </w:r>
      <w:r>
        <w:rPr>
          <w:rFonts w:ascii="Times New Roman" w:cs="Times New Roman" w:eastAsia="Times New Roman" w:hAnsi="Times New Roman"/>
          <w:sz w:val="18"/>
          <w:szCs w:val="18"/>
          <w:color w:val="auto"/>
        </w:rPr>
        <w:t>The 2026 Plan permits the grant of incentive stock options (“ISOs”), nonqualified stock options (“NQSOs”), stock appreciation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(“SARs”), restricted stock, restricted stock units (“RSUs”), performance awards, and other stock-based awards.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Eligibility. </w:t>
      </w:r>
      <w:r>
        <w:rPr>
          <w:rFonts w:ascii="Times New Roman" w:cs="Times New Roman" w:eastAsia="Times New Roman" w:hAnsi="Times New Roman"/>
          <w:sz w:val="18"/>
          <w:szCs w:val="18"/>
          <w:color w:val="auto"/>
        </w:rPr>
        <w:t>All employees, officers, directors, consultants, agents, advisors and independent contractors of the Company and its subsidiaries are eligible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 awards under the 2026 Plan.</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Administration. </w:t>
      </w:r>
      <w:r>
        <w:rPr>
          <w:rFonts w:ascii="Times New Roman" w:cs="Times New Roman" w:eastAsia="Times New Roman" w:hAnsi="Times New Roman"/>
          <w:sz w:val="18"/>
          <w:szCs w:val="18"/>
          <w:color w:val="auto"/>
        </w:rPr>
        <w:t>The 2026 Plan is administered by our Board of Directors, which may delegate authority to a committee or subcommittee that complies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applicable requirements of Section 16 of the Exchange Act and any other applicable legal or stock exchange listing requirements (the “plan administrator”). The plan administrator selects the participants who receive awards, determines the terms and conditions of those awards, interprets the 2026 Plan, and makes all other determinations necessary or desirable for the administration of the 2026 Plan. Subject to the equitable adjustment provisions of the 2026 Plan, the plan administrator may not reprice, or cancel and re-grant, any option or SAR at a lower exercise or base price, or cancel any option or SAR with an exercise or base price in exchange for cash, property or other awards, without first obtaining stockholder approval.</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Options. </w:t>
      </w:r>
      <w:r>
        <w:rPr>
          <w:rFonts w:ascii="Times New Roman" w:cs="Times New Roman" w:eastAsia="Times New Roman" w:hAnsi="Times New Roman"/>
          <w:sz w:val="18"/>
          <w:szCs w:val="18"/>
          <w:color w:val="auto"/>
        </w:rPr>
        <w:t>ISOs and NQSOs may be granted under the 2026 Plan. The exercise price per share for options and the base price for SARs may not be less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 of the fair market value of a share of Common Stock on the date of grant (110% in the case of ISOs granted to ten percent stockholders). No option or SAR may be exercised more than ten years after the date of grant (five years in the case of ISOs granted to ten percent stockholders). The aggregate fair market value of shares with respect to which ISOs first become exercisable by a participant during any calendar year may not exceed $100,000, determined as of the date of grant.</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Stock Appreciation Rights. </w:t>
      </w:r>
      <w:r>
        <w:rPr>
          <w:rFonts w:ascii="Times New Roman" w:cs="Times New Roman" w:eastAsia="Times New Roman" w:hAnsi="Times New Roman"/>
          <w:sz w:val="18"/>
          <w:szCs w:val="18"/>
          <w:color w:val="auto"/>
        </w:rPr>
        <w:t>SARs may be granted alone or in tandem with an option. A SAR entitles its holder to receive, upon exercise, an amount equal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excess of the fair market value of a share of Common Stock on the date of exercise over the base price of the SAR, multiplied by the number of shares with respect to which the SAR is exercised, payable in cash, shares, or a combination, as determined by the plan administrator.</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Restricted Stock and Restricted Stock Units. </w:t>
      </w:r>
      <w:r>
        <w:rPr>
          <w:rFonts w:ascii="Times New Roman" w:cs="Times New Roman" w:eastAsia="Times New Roman" w:hAnsi="Times New Roman"/>
          <w:sz w:val="18"/>
          <w:szCs w:val="18"/>
          <w:color w:val="auto"/>
        </w:rPr>
        <w:t>The plan administrator determines the purchase price, vesting schedule, performance goals (if 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conditions that apply to a grant of restricted stock or RSUs. If the applicable conditions are not satisfied, the award is forfeited. Unless the award agreement provides otherwise, holders of restricted stock generally have the rights of a stockholder, provided that dividends are paid only if and when the underlying restricted stock vests; RSUs are not entitled to dividends prior to vesting but may receive dividend equivalents if the award agreement so provides.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Performance Awards and Other Stock-Based Awards. </w:t>
      </w:r>
      <w:r>
        <w:rPr>
          <w:rFonts w:ascii="Times New Roman" w:cs="Times New Roman" w:eastAsia="Times New Roman" w:hAnsi="Times New Roman"/>
          <w:sz w:val="18"/>
          <w:szCs w:val="18"/>
          <w:color w:val="auto"/>
        </w:rPr>
        <w:t>The plan administrator may grant performance awards and other awards that are valued in whole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 part by reference to, or otherwise based on, shares of Common Stock, on the terms and conditions it determines, including the number of shares subject to the award, the manner of settlement, and the conditions to vesting and payment (including the achievement of performance goals).</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Equitable Adjustment. </w:t>
      </w:r>
      <w:r>
        <w:rPr>
          <w:rFonts w:ascii="Times New Roman" w:cs="Times New Roman" w:eastAsia="Times New Roman" w:hAnsi="Times New Roman"/>
          <w:sz w:val="18"/>
          <w:szCs w:val="18"/>
          <w:color w:val="auto"/>
        </w:rPr>
        <w:t>In the event of a merger, consolidation, recapitalization, reclassification, stock split, reverse stock split, stock dividend, spin-off,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exchange of shares, or other similar change in the Company’s capital structure, an equitable substitution or proportionate adjustment will be made to the number and kind of shares reserved under the 2026 Plan, the number and kind of shares and the exercise or base price of outstanding options and SARs, and the terms of other outstanding awards.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Change in Control. </w:t>
      </w:r>
      <w:r>
        <w:rPr>
          <w:rFonts w:ascii="Times New Roman" w:cs="Times New Roman" w:eastAsia="Times New Roman" w:hAnsi="Times New Roman"/>
          <w:sz w:val="18"/>
          <w:szCs w:val="18"/>
          <w:color w:val="auto"/>
        </w:rPr>
        <w:t>The 2026 Plan provides for “double-trigger” vesting acceleration in connection with a Change in Control. Unless otherwise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an award agreement, if outstanding awards are assumed or substituted in connection with a Change in Control and a participant’s service is terminated by the Company without Cause or by the participant for Good Reason within 24 months following the Change in Control, the participant’s then-outstanding awards will become fully vested (with performance awards vesting as provided in the 2026 Plan or the applicable award agreement). The treatment of awards that are not assumed or substituted in connection with a Change in Control is governed by the terms of the 2026 Plan.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Tax Withholding. </w:t>
      </w:r>
      <w:r>
        <w:rPr>
          <w:rFonts w:ascii="Times New Roman" w:cs="Times New Roman" w:eastAsia="Times New Roman" w:hAnsi="Times New Roman"/>
          <w:sz w:val="18"/>
          <w:szCs w:val="18"/>
          <w:color w:val="auto"/>
        </w:rPr>
        <w:t>Each participant must make arrangements satisfactory to the plan administrator for the payment of any taxes required to be withheld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an award, up to the maximum statutory rates in the participant’s applicable jurisdiction. With the plan administrator’s approval, a participant may satisfy this obligation by having the Company withhold shares otherwise deliverable, or by delivering already-owned shares, in each case having a value not exceeding the applicable withholding taxes.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Amendment and Termination. </w:t>
      </w:r>
      <w:r>
        <w:rPr>
          <w:rFonts w:ascii="Times New Roman" w:cs="Times New Roman" w:eastAsia="Times New Roman" w:hAnsi="Times New Roman"/>
          <w:sz w:val="18"/>
          <w:szCs w:val="18"/>
          <w:color w:val="auto"/>
        </w:rPr>
        <w:t>Our Board of Directors may amend, alter, suspend or terminate the 2026 Plan, provided that no amendment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materially impair the rights of a participant with respect to an outstanding award without that participant’s consent, and stockholder approval will be obtained for any amendment to the extent required by applicable law, rule or regulation (including the listing requirements of the NYSE American) or by the terms of the 2026 Plan, including any amendment that increases the number of shares available for issuance under the 2026 Plan (other than pursuant to the Evergreen Mechanism or the equitable adjustment provisions). Unless terminated earlier, the 2026 Plan will terminate on April 10, 2036, the tenth anniversary of its effective date, although awards granted before that date will remain outstanding in accordance with their terms.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 Repricing. </w:t>
      </w:r>
      <w:r>
        <w:rPr>
          <w:rFonts w:ascii="Times New Roman" w:cs="Times New Roman" w:eastAsia="Times New Roman" w:hAnsi="Times New Roman"/>
          <w:sz w:val="18"/>
          <w:szCs w:val="18"/>
          <w:color w:val="auto"/>
        </w:rPr>
        <w:t>The 2026 Plan prohibits the repricing of outstanding options and SARs without stockholder approval.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Clawback. </w:t>
      </w:r>
      <w:r>
        <w:rPr>
          <w:rFonts w:ascii="Times New Roman" w:cs="Times New Roman" w:eastAsia="Times New Roman" w:hAnsi="Times New Roman"/>
          <w:sz w:val="18"/>
          <w:szCs w:val="18"/>
          <w:color w:val="auto"/>
        </w:rPr>
        <w:t>Awards under the 2026 Plan are subject to recoupment or clawback to the extent required by applicable law, applicable listing standards,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clawback or recoupment policy adopted by the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U.S. Federal Income Tax Consequences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is a general summary of certain U.S. federal income tax consequences applicable to awards under the 2026 Plan. It is based on the Internal Revenue Code of 1986, as amended (the “Code”), and the regulations and interpretations thereunder, all as in effect on the date of this Proxy Statement and all of which are subject to change, possibly with retroactive effect. This summary is not intended to be a complete description of the federal income tax consequences, does not address state, local or foreign tax consequences, and is not tax advice to any participant.</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Nonqualified Stock Options and SARs. </w:t>
      </w:r>
      <w:r>
        <w:rPr>
          <w:rFonts w:ascii="Times New Roman" w:cs="Times New Roman" w:eastAsia="Times New Roman" w:hAnsi="Times New Roman"/>
          <w:sz w:val="18"/>
          <w:szCs w:val="18"/>
          <w:color w:val="auto"/>
        </w:rPr>
        <w:t>A participant generally will not recognize taxable income upon the grant of an NQSO or SAR. Upon exercise,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generally will recognize ordinary income equal to the excess of the fair market value of the shares acquired (or cash received) over the exercise or base price, and the Company generally will be entitled to a corresponding deduction, subject to applicable limitations.</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Incentive Stock Options. </w:t>
      </w:r>
      <w:r>
        <w:rPr>
          <w:rFonts w:ascii="Times New Roman" w:cs="Times New Roman" w:eastAsia="Times New Roman" w:hAnsi="Times New Roman"/>
          <w:sz w:val="18"/>
          <w:szCs w:val="18"/>
          <w:color w:val="auto"/>
        </w:rPr>
        <w:t>A participant generally will not recognize taxable income upon the grant or exercise of an ISO, although the exercise may give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rise to alternative minimum tax. If the participant holds the shares acquired on exercise for at least two years from the date of grant and one year from the date of exercise, any gain or loss on a subsequent sale generally will be long-term capital gain or loss, and the Company generally will not be entitled to a deduction. If the holding periods are not satisfied, the participant generally will recognize ordinary income in the year of the disposition and the Company generally will be entitled to a corresponding deduction, subject to applicable limitations.</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Restricted Stock, RSUs and Other Awards. </w:t>
      </w:r>
      <w:r>
        <w:rPr>
          <w:rFonts w:ascii="Times New Roman" w:cs="Times New Roman" w:eastAsia="Times New Roman" w:hAnsi="Times New Roman"/>
          <w:sz w:val="18"/>
          <w:szCs w:val="18"/>
          <w:color w:val="auto"/>
        </w:rPr>
        <w:t>A participant generally will recognize ordinary income with respect to restricted stock when the shares vest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earlier, if a Section 83(b) election is made), and with respect to RSUs and other awards when the awards are paid or settled, in each case in an amount equal to the fair market value of the shares or cash received, and the Company generally will be entitled to a corresponding deduction, subject to applicable limitations. Awards under the 2026 Plan are intended to be exempt from, or to comply with, Section 409A of the Code. Section 162(m) of the Code generally limits the Company’s deduction for compensation paid to certain covered executive officers to $1,000,000 per officer per year.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awards under the 2026 Plan are granted at the discretion of the plan administrator, the benefits or amounts that will be received by or allocated to any participant under the 2026 Plan, as proposed to be amended, are not determinable at this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of Common Stock present in person (virtually) or represented by proxy at the Annual Meeting and entitled to vote thereon is required to approve this proposal. Abstentions will have the same effect as votes “AGAINST” the proposal.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jc w:val="center"/>
        <w:ind w:left="34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THAT STOCKHOLDERS VOTE “FOR” THE APPROVAL OF THE AMENDMENT TO THE 2026 EQUITY INCENTIVE PLAN TO INCREASE THE NUMBER OF SHARES OF COMMON STOCK RESERVED AND AVAILABLE FOR ISSUANCE THEREUNDER TO 6,850,000 FROM 1,390,000 (PROPOSAL 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ADJOURNMENT PROPOSAL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at the Annual Meeting, the number of shares of Common Stock present in person (virtually) or represented by proxy and voting in favor of one or more of Proposals 1 and 2 is insufficient to approve that proposal, the Company intends to move to adjourn the Annual Meeting in order to enable the Board to solicit additional proxies in favor of such proposal. In this proposal, the Company is asking stockholders to authorize the holder of any proxy solicited by the Board to vote in favor of adjourning the Annual Meeting to another time and place, if necessary or appropriate, to solicit additional proxies in the event that there are insufficient votes at the time of the Annual Meeting to approve one or more of the foregoing proposals.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stockholders approve this Proposal 3, the Company could adjourn the Annual Meeting and any adjourned session of the Annual Meeting and use the additional time to solicit additional proxies, including proxies from stockholders that have previously voted.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of Common Stock present in person (virtually) or represented by proxy at the Annual Meeting and entitled to vote thereon is required for approval of this proposal. Abstentions will have the same effect as votes “AGAINST” the proposal.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UNANIMOUSLY RECOMMENDS THAT STOCKHOLDERS VOTE “FOR”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ADJOURNMENT PROPOSAL (PROPOSAL 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 AND 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the Company’s current directors and executive officers as of the Record 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92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Position(s)</w:t>
            </w: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28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Director/Officer Since</w:t>
            </w:r>
          </w:p>
        </w:tc>
      </w:tr>
      <w:tr>
        <w:trPr>
          <w:trHeight w:val="243"/>
        </w:trPr>
        <w:tc>
          <w:tcPr>
            <w:tcW w:w="3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Oster</w:t>
            </w:r>
          </w:p>
        </w:tc>
        <w:tc>
          <w:tcPr>
            <w:tcW w:w="12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tcBorders>
              <w:top w:val="single" w:sz="8" w:color="CCEEFF"/>
            </w:tcBorders>
            <w:shd w:val="clear" w:color="auto" w:fill="CCEEFF"/>
          </w:tcPr>
          <w:p>
            <w:pPr>
              <w:spacing w:after="0"/>
              <w:rPr>
                <w:sz w:val="21"/>
                <w:szCs w:val="21"/>
                <w:color w:val="auto"/>
              </w:rPr>
            </w:pPr>
          </w:p>
        </w:tc>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0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tcBorders>
            <w:shd w:val="clear" w:color="auto" w:fill="CCEEFF"/>
          </w:tcPr>
          <w:p>
            <w:pPr>
              <w:spacing w:after="0"/>
              <w:rPr>
                <w:sz w:val="21"/>
                <w:szCs w:val="21"/>
                <w:color w:val="auto"/>
              </w:rPr>
            </w:pPr>
          </w:p>
        </w:tc>
        <w:tc>
          <w:tcPr>
            <w:tcW w:w="2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2026</w:t>
            </w:r>
          </w:p>
        </w:tc>
      </w:tr>
      <w:tr>
        <w:trPr>
          <w:trHeight w:val="198"/>
        </w:trPr>
        <w:tc>
          <w:tcPr>
            <w:tcW w:w="3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David Rokach</w:t>
            </w:r>
          </w:p>
        </w:tc>
        <w:tc>
          <w:tcPr>
            <w:tcW w:w="9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Pr>
          <w:p>
            <w:pPr>
              <w:spacing w:after="0"/>
              <w:rPr>
                <w:sz w:val="17"/>
                <w:szCs w:val="17"/>
                <w:color w:val="auto"/>
              </w:rPr>
            </w:pPr>
          </w:p>
        </w:tc>
        <w:tc>
          <w:tcPr>
            <w:tcW w:w="2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Chief Financial Officer, Principal</w:t>
            </w:r>
          </w:p>
        </w:tc>
        <w:tc>
          <w:tcPr>
            <w:tcW w:w="1120" w:type="dxa"/>
            <w:vAlign w:val="bottom"/>
            <w:gridSpan w:val="2"/>
          </w:tcPr>
          <w:p>
            <w:pPr>
              <w:jc w:val="center"/>
              <w:ind w:right="20"/>
              <w:spacing w:after="0" w:line="198" w:lineRule="exact"/>
              <w:rPr>
                <w:sz w:val="20"/>
                <w:szCs w:val="20"/>
                <w:color w:val="auto"/>
              </w:rPr>
            </w:pPr>
            <w:r>
              <w:rPr>
                <w:rFonts w:ascii="Times New Roman" w:cs="Times New Roman" w:eastAsia="Times New Roman" w:hAnsi="Times New Roman"/>
                <w:sz w:val="18"/>
                <w:szCs w:val="18"/>
                <w:color w:val="auto"/>
                <w:w w:val="99"/>
              </w:rPr>
              <w:t>—</w:t>
            </w:r>
          </w:p>
        </w:tc>
        <w:tc>
          <w:tcPr>
            <w:tcW w:w="2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February 2026</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Officer and Principal</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34"/>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Officer</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43"/>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Reuven Yeganeh</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shd w:val="clear" w:color="auto" w:fill="CCEEFF"/>
          </w:tcPr>
          <w:p>
            <w:pPr>
              <w:spacing w:after="0"/>
              <w:rPr>
                <w:sz w:val="21"/>
                <w:szCs w:val="21"/>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11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Class I</w:t>
            </w: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2026</w:t>
            </w:r>
          </w:p>
        </w:tc>
      </w:tr>
      <w:tr>
        <w:trPr>
          <w:trHeight w:val="239"/>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Liat Bidas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Class II</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February 2026</w:t>
            </w:r>
          </w:p>
        </w:tc>
      </w:tr>
      <w:tr>
        <w:trPr>
          <w:trHeight w:val="247"/>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Guy Arieli</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100" w:type="dxa"/>
            <w:vAlign w:val="bottom"/>
            <w:shd w:val="clear" w:color="auto" w:fill="CCEEFF"/>
          </w:tcPr>
          <w:p>
            <w:pPr>
              <w:spacing w:after="0"/>
              <w:rPr>
                <w:sz w:val="21"/>
                <w:szCs w:val="21"/>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11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Class II</w:t>
            </w: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2026</w:t>
            </w:r>
          </w:p>
        </w:tc>
      </w:tr>
      <w:tr>
        <w:trPr>
          <w:trHeight w:val="234"/>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Ran Shaked</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0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1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Class III</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February 2026</w:t>
            </w:r>
          </w:p>
        </w:tc>
      </w:tr>
    </w:tbl>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Committee of the Board consists of Liat Bidas (Chair), Guy Arieli and Ran Shaked. The Compensation Committee of the Board consists of Guy Arieli and Ran Shaked, and Ran Shaked is its Chairperson. The Nominating and Corporate Governance Committee of the Board consists of Liat Bidas (Chair) and Guy Arieli. Each of Ms. Bidas, Mr. Arieli and Mr. Shaked qualifies as an independent director under the listing standards of the NYSE American LLC, and each member of the Audit Committee also satisfies the additional independence requirements applicable to audit committee members under Rule 10A-3 of the Exchange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Reuven Yeganeh, Director. </w:t>
      </w:r>
      <w:r>
        <w:rPr>
          <w:rFonts w:ascii="Times New Roman" w:cs="Times New Roman" w:eastAsia="Times New Roman" w:hAnsi="Times New Roman"/>
          <w:sz w:val="18"/>
          <w:szCs w:val="18"/>
          <w:color w:val="auto"/>
        </w:rPr>
        <w:t>Mr. Yeganeh, age 47, has served as a director of the Company since January 2026. Mr. Yeganeh also serves as a director of T3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Defense Inc. (Nasdaq: DFNS), a strategic acquirer and operator of aerospace and defense businesses. Since 2024, Mr. Yeganeh has been the CEO of Continual Ltd. From 2020 to 2023, he managed investments as a derivatives trader at Inbar Group Finance Ltd. He previously served as Chairman of the board of Fantasy Network (2018-2020) and Direct Capital (2018-2019). Mr. Yeganeh holds a B.A. in Economics and Management with a specialization in Finance from Ruppin Academic Center and is a Licensed Investment Portfolio Manager by the Israel Securities Authority.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Liat Bidas, Director. </w:t>
      </w:r>
      <w:r>
        <w:rPr>
          <w:rFonts w:ascii="Times New Roman" w:cs="Times New Roman" w:eastAsia="Times New Roman" w:hAnsi="Times New Roman"/>
          <w:sz w:val="18"/>
          <w:szCs w:val="18"/>
          <w:color w:val="auto"/>
        </w:rPr>
        <w:t>Ms. Bidas has served as a director of the Company since February 2026. Ms. Bidas is a Managing Partner at UpStream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Group, where since 2014 she has been engaged in investments in financial and real estate transactions, and provides advisory services and merger proposals. Ms. Bidas serves as Chairperson of the Audit Committee and the Nominating and Corporate Governance Committee.</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Guy Arieli, Director. </w:t>
      </w:r>
      <w:r>
        <w:rPr>
          <w:rFonts w:ascii="Times New Roman" w:cs="Times New Roman" w:eastAsia="Times New Roman" w:hAnsi="Times New Roman"/>
          <w:sz w:val="18"/>
          <w:szCs w:val="18"/>
          <w:color w:val="auto"/>
        </w:rPr>
        <w:t>Mr. Arieli has served as a director of the Company since February 2026. Mr. Arieli, age 43, is a pension and investment advisory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specialist with extensive experience in providing pension consulting, investment advisory, and managing strategic client portfolios for corporate and institutional clients. Since 2014, Mr. Arieli has been self-employed, providing freelance consulting services to leading insurance and financial firms, including managing El Al Airlines’ portfolio and pension arrangements for hundreds of employees. Previously, Mr. Arieli served as a Pension and Investment Advisor at Mivtach Simon Insurance Agencies Ltd. from 2012 to 2014 and as a Pension Consultant and in marketing of financial products at Perfect Investment House (a subsidiary of Altshuler Shaham) from 2009 to 2012. Mr. Arieli holds an MBA with a specialization in Finance from Netanya Academic College and a B.B.A. and Industrial Engineering degree from Ruppin Academic Center, and previously held investment advisory and pension advisory licenses issued by the Israel Securities Authority and the Capital Market, Insurance and Savings Authority, respectively.</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Ran Shaked, Director. </w:t>
      </w:r>
      <w:r>
        <w:rPr>
          <w:rFonts w:ascii="Times New Roman" w:cs="Times New Roman" w:eastAsia="Times New Roman" w:hAnsi="Times New Roman"/>
          <w:sz w:val="18"/>
          <w:szCs w:val="18"/>
          <w:color w:val="auto"/>
        </w:rPr>
        <w:t>Mr. Shaked, age 44, has served as a director of the Company since February 2026. Mr. Shaked is an investment advisor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portfolio manager with over 20 years of experience (2006-present) in capital markets, financial analysis, and investment management, with expertise in market analysis, risk assessment, and developing investment strategies for private and institutional clients. Since 2015, Mr. Shaked has served as a self-employed independent investment advisor and portfolio manager in Israel. Previously, Mr. Shaked provided portfolio management and investment advisory services on a freelance basis from 2010 to 2015, and served as a financial analyst and investment advisor from 2006 to 2010, providing market research and investment recommendations. Mr. Shaked holds a certificate in Financial Markets Analysis and Investments from Capital Markets College and completed advanced coursework in Financial Information Systems at High-Tech College.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Michael Oster, Chief Executive Officer. </w:t>
      </w:r>
      <w:r>
        <w:rPr>
          <w:rFonts w:ascii="Times New Roman" w:cs="Times New Roman" w:eastAsia="Times New Roman" w:hAnsi="Times New Roman"/>
          <w:sz w:val="18"/>
          <w:szCs w:val="18"/>
          <w:color w:val="auto"/>
        </w:rPr>
        <w:t>Mr. Oster, age 54, was appointed as Chief Executive Officer of the Company effective March 4, 2026. Mr. Oster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brings extensive experience in corporate strategy, mergers and acquisitions, and operational leadership across capital-intensive industries including energy, infrastructure, and industrial sectors. Since 2024, Mr. Oster has been serving as Chief Executive Officer and a member of the board of directors of Saffron Tech Ltd., an agritech company focused on innovative saffron cultivation technologies, as well as its parent company Sattivus Tech Corporation (OTC: SATT). During this period, he also served as a member of the board of directors of BladeRanger Ltd. (TASE: BLRN), a publicly traded Israeli innovator in advanced drone payload systems for defense, homeland security, and solar applications. From 2018 to 2024, Mr. Oster managed and was a principal of a real estate entity in Dallas, Texas focused on the acquisition and management of multi-family units. From 2003 to 2017, Mr. Oster served as Senior Vice President of Mergers and Acquisitions at Alon USA Energy, Inc. (NYSE: ALJ), where he led numerous strategic transactions during the company’s growth as a publicly traded energy company with approximately $8 billion in revenue.</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David Rokach, Chief Financial Officer. </w:t>
      </w:r>
      <w:r>
        <w:rPr>
          <w:rFonts w:ascii="Times New Roman" w:cs="Times New Roman" w:eastAsia="Times New Roman" w:hAnsi="Times New Roman"/>
          <w:sz w:val="18"/>
          <w:szCs w:val="18"/>
          <w:color w:val="auto"/>
        </w:rPr>
        <w:t>Mr. Rokach, age 58, was appointed as Chief Financial Officer, Principal Financial Officer and Principal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Officer of the Company effective February 27, 2026. Mr. Rokach has served as a director on the board of directors of T3 Defense Inc. (Nasdaq: DFNS) (formerly Nukkleus Inc.), a strategic acquirer and operator of aerospace and defense businesses, since 2024. From 2017 to 2025, he served as CEO, partner and senior manager of Newcom Finance, a financial services firm focused on pension fund management and portfolio construction. From 2021 to 2023, he served as CEO of Granit Investment Company. Mr. Rokach holds extensive experience in executive leadership, public company governance and investment strategy.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THE BOARD AND ITS COMMITTEES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 and Leadership Structure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Record Date, the Board is comprised of four members: Reuven Yeganeh, Liat Bidas, Guy Arieli and Ran Shaked. The Board has a flexible policy with respect to the combination or separation of the offices of Chairman of the Board and Chief Executive Officer. As of the date of this Proxy Statement, the Board has not appointed any director as Chairman, and the Board does not currently have a lead independent director. The Board believes that its current leadership structure is appropriate at this stage of the Company’s development given the Board’s small size, the recent reconstitution of the Board, and the relatively recent appointment of the Company’s senior management team.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NYSE American requires that a majority of the Board be composed of “independent directors.” The Board has reviewed the materiality of any relationship that each of the Company’s directors has with the Company, either directly or indirectly. Based upon this review, the Board has affirmatively determined that each of Liat Bidas, Guy Arieli and Ran Shaked is an independent director under the listing standards of the NYSE American, and, with respect to the members of the Audit Committee, satisfies the additional independence requirements of Rule 10A-3 under the Exchange Act. The Board has further determined that Mr. Yeganeh is not independent under the listing standards of the NYSE American by reason of his service as the managing member of Pyu Pyu Capital, LLC, which holds, or until recently held, securities of the Company, and his service on the board of directors of T3 Defense, Inc., the indirect parent of Water IO Ltd. (a significant stockholder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Meetings and Attendance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fiscal year ended December 31, 2025, the Board held twenty two (22) meetings (including actions taken by written consent). Each incumbent director who served during fiscal 2025 attended at least 75% of the aggregate of the meetings of the Board and the committees of the Board on which he or she served during the period for which he or she was a director or committee member. We do not have a policy regarding directors’ attendance at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has established three standing committees: the Audit Committee, the Compensation Committee and the Nominating and Corporate Governance Committee, each of which is composed solely of independent directors and operates pursuant to a written charter that is reviewed and assessed for adequacy and submitted to the Board for approval. The charters for the Audit Committee, the Compensation Committee and the Nominating and Corporate Governance Committee are available on our website, www.biomx.com. The inclusion of our website address here and elsewhere in this Proxy Statement does not incorporate by reference the information on our website into this Proxy Statement.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sets forth the current membership of each committee:</w:t>
            </w: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Nominating</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and</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0" w:type="dxa"/>
            <w:vAlign w:val="bottom"/>
          </w:tcPr>
          <w:p>
            <w:pPr>
              <w:spacing w:after="0"/>
              <w:rPr>
                <w:sz w:val="1"/>
                <w:szCs w:val="1"/>
                <w:color w:val="auto"/>
              </w:rPr>
            </w:pPr>
          </w:p>
        </w:tc>
      </w:tr>
      <w:tr>
        <w:trPr>
          <w:trHeight w:val="216"/>
        </w:trPr>
        <w:tc>
          <w:tcPr>
            <w:tcW w:w="7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Audit</w:t>
            </w: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Governance</w:t>
            </w:r>
          </w:p>
        </w:tc>
        <w:tc>
          <w:tcPr>
            <w:tcW w:w="0" w:type="dxa"/>
            <w:vAlign w:val="bottom"/>
          </w:tcPr>
          <w:p>
            <w:pPr>
              <w:spacing w:after="0"/>
              <w:rPr>
                <w:sz w:val="1"/>
                <w:szCs w:val="1"/>
                <w:color w:val="auto"/>
              </w:rPr>
            </w:pPr>
          </w:p>
        </w:tc>
      </w:tr>
      <w:tr>
        <w:trPr>
          <w:trHeight w:val="245"/>
        </w:trPr>
        <w:tc>
          <w:tcPr>
            <w:tcW w:w="7360" w:type="dxa"/>
            <w:vAlign w:val="bottom"/>
            <w:gridSpan w:val="2"/>
            <w:vMerge w:val="continue"/>
          </w:tcPr>
          <w:p>
            <w:pPr>
              <w:spacing w:after="0"/>
              <w:rPr>
                <w:sz w:val="21"/>
                <w:szCs w:val="21"/>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Committee</w:t>
            </w: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0" w:type="dxa"/>
            <w:vAlign w:val="bottom"/>
          </w:tcPr>
          <w:p>
            <w:pPr>
              <w:spacing w:after="0"/>
              <w:rPr>
                <w:sz w:val="1"/>
                <w:szCs w:val="1"/>
                <w:color w:val="auto"/>
              </w:rPr>
            </w:pPr>
          </w:p>
        </w:tc>
      </w:tr>
      <w:tr>
        <w:trPr>
          <w:trHeight w:val="243"/>
        </w:trPr>
        <w:tc>
          <w:tcPr>
            <w:tcW w:w="7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Reuven Yeganeh</w:t>
            </w:r>
          </w:p>
        </w:tc>
        <w:tc>
          <w:tcPr>
            <w:tcW w:w="22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Liat Bidas</w:t>
            </w: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Chair</w:t>
            </w: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Chair</w:t>
            </w:r>
          </w:p>
        </w:tc>
        <w:tc>
          <w:tcPr>
            <w:tcW w:w="0" w:type="dxa"/>
            <w:vAlign w:val="bottom"/>
          </w:tcPr>
          <w:p>
            <w:pPr>
              <w:spacing w:after="0"/>
              <w:rPr>
                <w:sz w:val="1"/>
                <w:szCs w:val="1"/>
                <w:color w:val="auto"/>
              </w:rPr>
            </w:pPr>
          </w:p>
        </w:tc>
      </w:tr>
      <w:tr>
        <w:trPr>
          <w:trHeight w:val="247"/>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Guy Arieli</w:t>
            </w:r>
          </w:p>
        </w:tc>
        <w:tc>
          <w:tcPr>
            <w:tcW w:w="13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8"/>
              </w:rPr>
              <w:t>Member</w:t>
            </w:r>
          </w:p>
        </w:tc>
        <w:tc>
          <w:tcPr>
            <w:tcW w:w="146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Member</w:t>
            </w:r>
          </w:p>
        </w:tc>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Member</w:t>
            </w:r>
          </w:p>
        </w:tc>
        <w:tc>
          <w:tcPr>
            <w:tcW w:w="0" w:type="dxa"/>
            <w:vAlign w:val="bottom"/>
          </w:tcPr>
          <w:p>
            <w:pPr>
              <w:spacing w:after="0"/>
              <w:rPr>
                <w:sz w:val="1"/>
                <w:szCs w:val="1"/>
                <w:color w:val="auto"/>
              </w:rPr>
            </w:pPr>
          </w:p>
        </w:tc>
      </w:tr>
      <w:tr>
        <w:trPr>
          <w:trHeight w:val="234"/>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Ran Shaked</w:t>
            </w: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Member</w:t>
            </w: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Chair</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441"/>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 Committee engages the Company’s independent accountants; reviews their independence and performance; reviews the Company’s accounting and financial reporting processes and the integrity of its financial statements; reviews the audits of the Company’s financial statements and the appointment, compensation, qualifications, independence and performance of the Company’s independent auditors; reviews the Company’s compliance with legal and regulatory requirements; and reviews the performance of the Company’s internal audit function and internal control over financial reporting. The members of the Audit Committee are Liat Bidas, Guy Arieli and Ran Shaked, each of whom is an independent director under the NYSE American’s listing standards and satisfies the additional independence requirements of Rule 10A-3 of the Exchange Act. Liat Bidas is the Chairperson of the Audit Committee and is an “audit committee financial expert,” as defined under the rules and regulations of the SEC.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Compensation Committee reviews annually the Company’s corporate performance goals and objectives relevant to the Chief Executive Officer’s compensation, evaluates the Chief Executive Officer’s performance in light of such goals and objectives, and determines and approves the Chief Executive Officer’s compensation level; makes recommendations to the Board regarding the compensation of our other executive officers and directors and regarding employee benefit plans; and administers the Company’s incentive-compensation and equity-based plans and the Company’s clawback policy. The Chief Executive Officer may not be present during voting or deliberations of the Compensation Committee with respect to his compensation, and the Company’s executive officers do not play a role in suggesting their own salaries. The members of the Compensation Committee are Guy Arieli and Ran Shaked, each of whom is an independent director under the NYSE American’s listing standards. Ran Shaked is the Chairperson of the Compensation Committee.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2025, the Compensation Committee retained Aon Solutions UK Limited (“Aon”), an independent compensation consultant, to provide competitive market data for our executive officers and to develop preliminary approaches to long-term incentive award guidelines, including approaches to equity grants between newly hired and long-standing employees. Aon delivered the requested materials to the Company. The Compensation Committee assessed the independence of Aon, taking into consideration the factors specified in Rule 10C-1 of the Exchange Act and the listing standards of the NYSE American, and determined that Aon’s work raised no conflict of interest.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Nominating and Corporate Governance Committee identifies and recommends qualified individuals to serve as directors of the Company; oversees periodic evaluations of the Board, its committees and individual directors; oversees director education programs; reviews the Company’s policies and procedures regarding corporate governance; and reviews and assesses the adequacy of the Company’s corporate governance principles. In identifying potential director candidates, the committee considers, among other factors, each candidate’s relevant experience, knowledge, skills and expertise, integrity, ability to make independent analytical inquiries, understanding of the Company’s business and industry, and willingness to devote adequate time and effort to Board responsibilities. The committee does not have a formal policy regarding diversity in identifying nominees, but considers it as one factor among many. The committee’s policy is to consider qualified director candidates recommended by stockholders, applying the same evaluation criteria as for other candidates. The members of the Nominating and Corporate Governance Committee are Liat Bidas and Guy Arieli, each of whom is an independent director under the NYSE American’s listing standards. Liat Bidas is the Chairperson of the Nominating and Corporate Governance Committee.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Board’s Role in Risk Oversight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has overall responsibility for the oversight of risks facing the Company, with a focus on the most significant risks. The Board administers its risk-oversight role through the Board itself and through its committees. The Audit Committee oversees risks related to financial reporting, internal control over financial reporting, and compliance with legal and regulatory requirements, including review of the Company’s policies regarding risk assessment and risk management, and oversight of cybersecurity risks. The Compensation Committee oversees risks related to the Company’s compensation policies and practices. The Nominating and Corporate Governance Committee oversees risks related to the Company’s governance policies and practices, including succession planning and director qualifications. Each committee reports to the full Board on the matters within its purview, and the full Board considers risks related to strategy, business operations, and financial condition as part of its regular review of Company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directors, officers and employees. The Code of Business Conduct and Ethics is available on our website at www.biomx.com. If we make any substantive amendment to, or grant any waiver from, a provision of the Code to any director or executive officer, we will promptly disclose the nature of the amendment or waiver on our website.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Policies and Procedures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adopted insider trading policies and procedures governing the purchase, sale and other dispositions of the Company’s securities by its directors, officers and employees that the Company believes are reasonably designed to promote compliance with insider trading laws, rules and regulations, and the listing standards of the NYSE American.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Our Board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has adopted a process by which stockholders may communicate with the Board or any individual director by sending correspondence to c/o BiomX Inc., 850 New Burton Road, Suite 201, Dover, DE 19904, Attention: Corporate Secretary. Each communication must set forth the name and address of the stockholder on whose behalf the communication is sent, the number of shares of Common Stock beneficially owned by the stockholder as of the date of the communication, and the reason for the communication. Each communication will be reviewed to determine whether it is appropriate for presentation to the Board or the relevant director.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for the fiscal year ended December 31, 2025 with the management of the Company. The Audit Committee has discussed with the Company’s independent registered public accounting firm, Kesselman &amp; Kesselman, Certified Public Accountants (Isr.), a member firm of PricewaterhouseCoopers International Limited (“PwC”), the matters required to be discussed by the applicable requirements of the Public Company Accounting Oversight Board (the “PCAOB”) and the SEC. The Audit Committee has also received the written disclosures and the letter from PwC required by the applicable requirements of the PCAOB regarding its communications with the Audit Committee concerning independence, and has discussed with PwC the firm’s independence. Based on the foregoing, the Audit Committee recommended to the Board that the Company’s audited financial statements be included in its Annual Report on Form 10-K for the fiscal year ended December 31, 2025 for filing with the SEC.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members specified below resigned from the Board on February 25,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Susan Blum, 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Russell Greig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Edward Williams</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contained in this Audit Committee Report shall not be deemed “soliciting material” or “filed” with the SEC, nor shall this information be incorporated by reference into any future filing under the Securities Act of 1933, as amended, or the Securities Exchange Act of 1934, as amended, except to the extent that the Company specifically incorporates it by reference into such filing.</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total compensation paid or accrued during the fiscal years ended December 31, 2025 and December 31, 2024, with respect to (i) our Chief Executive Officer and (ii) our two other most highly compensated executive officers, who each earned more than $100,000 during the fiscal year ended December 31, 2025 and were serving as executive officers as of such date.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Comp.</w:t>
            </w: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82"/>
        </w:trPr>
        <w:tc>
          <w:tcPr>
            <w:tcW w:w="2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center"/>
              <w:ind w:right="210"/>
              <w:spacing w:after="0" w:line="276"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9"/>
                <w:szCs w:val="29"/>
                <w:b w:val="1"/>
                <w:bCs w:val="1"/>
                <w:color w:val="auto"/>
                <w:vertAlign w:val="superscript"/>
              </w:rPr>
              <w:t>(1)</w:t>
            </w:r>
          </w:p>
        </w:tc>
        <w:tc>
          <w:tcPr>
            <w:tcW w:w="24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right"/>
              <w:ind w:right="230"/>
              <w:spacing w:after="0" w:line="276"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9"/>
                <w:szCs w:val="29"/>
                <w:b w:val="1"/>
                <w:bCs w:val="1"/>
                <w:color w:val="auto"/>
                <w:vertAlign w:val="superscript"/>
              </w:rPr>
              <w:t>(1)</w:t>
            </w:r>
          </w:p>
        </w:tc>
        <w:tc>
          <w:tcPr>
            <w:tcW w:w="2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(4)</w:t>
            </w:r>
          </w:p>
        </w:tc>
        <w:tc>
          <w:tcPr>
            <w:tcW w:w="2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(2)</w:t>
            </w:r>
          </w:p>
        </w:tc>
        <w:tc>
          <w:tcPr>
            <w:tcW w:w="2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line="275" w:lineRule="exact"/>
              <w:rPr>
                <w:sz w:val="20"/>
                <w:szCs w:val="20"/>
                <w:color w:val="auto"/>
              </w:rPr>
            </w:pPr>
            <w:r>
              <w:rPr>
                <w:rFonts w:ascii="Times New Roman" w:cs="Times New Roman" w:eastAsia="Times New Roman" w:hAnsi="Times New Roman"/>
                <w:sz w:val="31"/>
                <w:szCs w:val="31"/>
                <w:b w:val="1"/>
                <w:bCs w:val="1"/>
                <w:color w:val="auto"/>
                <w:w w:val="98"/>
                <w:vertAlign w:val="subscript"/>
              </w:rPr>
              <w:t>($)</w:t>
            </w:r>
            <w:r>
              <w:rPr>
                <w:rFonts w:ascii="Times New Roman" w:cs="Times New Roman" w:eastAsia="Times New Roman" w:hAnsi="Times New Roman"/>
                <w:sz w:val="14"/>
                <w:szCs w:val="14"/>
                <w:b w:val="1"/>
                <w:bCs w:val="1"/>
                <w:color w:val="auto"/>
                <w:w w:val="98"/>
              </w:rPr>
              <w:t>(1)(3)</w:t>
            </w:r>
          </w:p>
        </w:tc>
        <w:tc>
          <w:tcPr>
            <w:tcW w:w="2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300"/>
              <w:spacing w:after="0" w:line="276"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9"/>
                <w:szCs w:val="29"/>
                <w:b w:val="1"/>
                <w:bCs w:val="1"/>
                <w:color w:val="auto"/>
                <w:vertAlign w:val="superscript"/>
              </w:rPr>
              <w:t>(1)</w:t>
            </w:r>
          </w:p>
        </w:tc>
        <w:tc>
          <w:tcPr>
            <w:tcW w:w="100" w:type="dxa"/>
            <w:vAlign w:val="bottom"/>
            <w:tcBorders>
              <w:bottom w:val="single" w:sz="8" w:color="CCEEFF"/>
            </w:tcBorders>
          </w:tcPr>
          <w:p>
            <w:pPr>
              <w:spacing w:after="0"/>
              <w:rPr>
                <w:sz w:val="24"/>
                <w:szCs w:val="24"/>
                <w:color w:val="auto"/>
              </w:rPr>
            </w:pPr>
          </w:p>
        </w:tc>
      </w:tr>
      <w:tr>
        <w:trPr>
          <w:trHeight w:val="257"/>
        </w:trPr>
        <w:tc>
          <w:tcPr>
            <w:tcW w:w="25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Jonathan Solomon</w:t>
            </w:r>
            <w:r>
              <w:rPr>
                <w:rFonts w:ascii="Times New Roman" w:cs="Times New Roman" w:eastAsia="Times New Roman" w:hAnsi="Times New Roman"/>
                <w:sz w:val="29"/>
                <w:szCs w:val="29"/>
                <w:color w:val="auto"/>
                <w:vertAlign w:val="superscript"/>
              </w:rPr>
              <w:t>(5)</w:t>
            </w:r>
          </w:p>
        </w:tc>
        <w:tc>
          <w:tcPr>
            <w:tcW w:w="1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453,317</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70,725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639,338</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211,642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1,375,022</w:t>
            </w:r>
          </w:p>
        </w:tc>
      </w:tr>
      <w:tr>
        <w:trPr>
          <w:trHeight w:val="216"/>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415,103</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50,689</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49,798</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460,921</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102,081</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1,078,592</w:t>
            </w:r>
          </w:p>
        </w:tc>
      </w:tr>
      <w:tr>
        <w:trPr>
          <w:trHeight w:val="236"/>
        </w:trPr>
        <w:tc>
          <w:tcPr>
            <w:tcW w:w="2500" w:type="dxa"/>
            <w:vAlign w:val="bottom"/>
          </w:tcPr>
          <w:p>
            <w:pPr>
              <w:spacing w:after="0" w:line="236" w:lineRule="exact"/>
              <w:rPr>
                <w:sz w:val="20"/>
                <w:szCs w:val="20"/>
                <w:color w:val="auto"/>
              </w:rPr>
            </w:pPr>
            <w:r>
              <w:rPr>
                <w:rFonts w:ascii="Times New Roman" w:cs="Times New Roman" w:eastAsia="Times New Roman" w:hAnsi="Times New Roman"/>
                <w:sz w:val="17"/>
                <w:szCs w:val="17"/>
                <w:color w:val="auto"/>
              </w:rPr>
              <w:t>Marina Wolfson</w:t>
            </w:r>
            <w:r>
              <w:rPr>
                <w:rFonts w:ascii="Times New Roman" w:cs="Times New Roman" w:eastAsia="Times New Roman" w:hAnsi="Times New Roman"/>
                <w:sz w:val="27"/>
                <w:szCs w:val="27"/>
                <w:color w:val="auto"/>
                <w:vertAlign w:val="superscript"/>
              </w:rPr>
              <w:t>(6)</w:t>
            </w:r>
          </w:p>
        </w:tc>
        <w:tc>
          <w:tcPr>
            <w:tcW w:w="13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249,102</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38,248</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164,765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101,339</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553,454</w:t>
            </w:r>
          </w:p>
        </w:tc>
      </w:tr>
      <w:tr>
        <w:trPr>
          <w:trHeight w:val="236"/>
        </w:trPr>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3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179,905</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124,854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46,793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351,552</w:t>
            </w:r>
          </w:p>
        </w:tc>
      </w:tr>
      <w:tr>
        <w:trPr>
          <w:trHeight w:val="257"/>
        </w:trPr>
        <w:tc>
          <w:tcPr>
            <w:tcW w:w="25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Dr. Merav Bassan</w:t>
            </w:r>
            <w:r>
              <w:rPr>
                <w:rFonts w:ascii="Times New Roman" w:cs="Times New Roman" w:eastAsia="Times New Roman" w:hAnsi="Times New Roman"/>
                <w:sz w:val="29"/>
                <w:szCs w:val="29"/>
                <w:color w:val="auto"/>
                <w:vertAlign w:val="superscript"/>
              </w:rPr>
              <w:t>(7)</w:t>
            </w:r>
          </w:p>
        </w:tc>
        <w:tc>
          <w:tcPr>
            <w:tcW w:w="1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285,009</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44,415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165,609</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147,297</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642,330</w:t>
            </w:r>
          </w:p>
        </w:tc>
      </w:tr>
      <w:tr>
        <w:trPr>
          <w:trHeight w:val="216"/>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Development Officer</w:t>
            </w:r>
          </w:p>
        </w:tc>
        <w:tc>
          <w:tcPr>
            <w:tcW w:w="1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265,809</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31,833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31,273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130,859</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73,208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532,982</w:t>
            </w:r>
          </w:p>
        </w:tc>
      </w:tr>
    </w:tbl>
    <w:p>
      <w:pPr>
        <w:spacing w:after="0" w:line="198" w:lineRule="exact"/>
        <w:rPr>
          <w:sz w:val="20"/>
          <w:szCs w:val="20"/>
          <w:color w:val="auto"/>
        </w:rPr>
      </w:pPr>
    </w:p>
    <w:p>
      <w:pPr>
        <w:ind w:left="340" w:hanging="332"/>
        <w:spacing w:after="0" w:line="195" w:lineRule="auto"/>
        <w:tabs>
          <w:tab w:leader="none" w:pos="34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All amounts paid in NIS have been translated into U.S. dollars using the average exchange rate of NIS 3.45 to $1.00 for fiscal year 2025 and NIS 3.67 to $1.00 for fiscal year 2024.</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both"/>
        <w:ind w:left="340" w:hanging="332"/>
        <w:spacing w:after="0" w:line="210" w:lineRule="auto"/>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Amounts in this column represent the aggregate grant date fair value of option awards granted during the applicable fiscal year, computed in accordance with FASB ASC Topic 718. See Notes to Consolidated Financial Statements for a discussion of assumptions made in determining the grant date fair value of our equity awards.</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19" w:lineRule="auto"/>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Amounts for fiscal year 2025 include for each named executive officer: (a) contributions by BiomX Ltd. to pension and insurance funds; (b) contributions to an educational fund; (c) automobile and transportation expense reimbursement; and (d) a cash payment equal to three months’ salary approved by the Board on March 24, 2025, on account of each officer’s existing personal non-statutory severance agreement, the payment of which reduced each officer’s non-statutory severance entitlement.</w:t>
      </w:r>
    </w:p>
    <w:p>
      <w:pPr>
        <w:spacing w:after="0" w:line="198"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Amounts in this column represent the aggregate grant date fair value of RSU awards granted during the applicable fiscal year, computed in accordance with FASB ASC Topic 718.</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Solomon resigned as Chief Executive Officer and from the Board effective March 4, 2026. Michael Oster was appointed as Chief Executive Officer effective the same date.</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Ms. Wolfson resigned as Chief Financial Officer effective February 24, 2026. David Rokach was appointed as Chief Financial Officer effective February 27, 2026.</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Dr. Bassan resigned as Chief Development Officer effective February 24, 2026.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the Summary Compensation Table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Option Awards. </w:t>
      </w:r>
      <w:r>
        <w:rPr>
          <w:rFonts w:ascii="Times New Roman" w:cs="Times New Roman" w:eastAsia="Times New Roman" w:hAnsi="Times New Roman"/>
          <w:sz w:val="18"/>
          <w:szCs w:val="18"/>
          <w:color w:val="auto"/>
        </w:rPr>
        <w:t>Option awards were granted to our named executive officers under the 2015 Plan. Option awards granted to our named executive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the closing of the Business Combination are granted pursuant to the 2019 Plan. In each case, one-fourth of the options vest and become exercisable on the first anniversary of the grant date, and the remainder of the options vest and become exercisable in 12 equal quarterly installments, subject to the named executive officer’s continued employment; provided that the options will vest and become exercisable in the event the named executive officer is terminated within the twelve (12) month period following the occurrence of a Change in Control (as defined in the applicable grant agreement) as a result of an involuntary termination without Cause (as defined in the applicable grant agreement) or a voluntary termination with Good Reason (as defined in the applicable grant agreement). Subject to the terms of any employment agreement, the unexercised portion of these awards is generally forfeited by a participant on the date his or her employment is terminated other than due to death or disability. In the event of death or disability, the options become fully exercisable and remain exercisable for a period specified in the applicable award agreement.</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RSU Awards. </w:t>
      </w:r>
      <w:r>
        <w:rPr>
          <w:rFonts w:ascii="Times New Roman" w:cs="Times New Roman" w:eastAsia="Times New Roman" w:hAnsi="Times New Roman"/>
          <w:sz w:val="18"/>
          <w:szCs w:val="18"/>
          <w:color w:val="auto"/>
        </w:rPr>
        <w:t>In September 2024, pursuant to our 2019 Plan, we granted RSUs to four senior officers and one service provider. In April 2025,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2019 Plan, we granted RSUs to three senior officers. In each case, the RSUs were fully vested and issued on the grant date and are not subject to continued service to the Company.</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Bonus Awards. </w:t>
      </w:r>
      <w:r>
        <w:rPr>
          <w:rFonts w:ascii="Times New Roman" w:cs="Times New Roman" w:eastAsia="Times New Roman" w:hAnsi="Times New Roman"/>
          <w:sz w:val="18"/>
          <w:szCs w:val="18"/>
          <w:color w:val="auto"/>
        </w:rPr>
        <w:t>We have an annual corporate and individual goal-setting and review process for our named executive officers that is the basis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determination of potential annual bonuses. Each of our named executive officers is eligible for annual performance-based bonuses of up to a specific percentage of their salary, ranging from 40% to 50%, subject to approval by the Board or the Compensation Committee. The performance-based bonus is tied to a set of specified corporate and/or individual goals and objectives reviewed and approved by the Board, such as clinical and development milestones, meeting budget and strategic goals, and we conduct an annual performance review to determine the attainment of such goals and objectives. For fiscal year 2025, no performance-based bonuses were paid to the named executive officers.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Below are descriptions of our employment agreements with our named executive officers who served during fiscal year 2025. All three named executive officers resigned from their positions in February and March 2026.</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Jonathan Solomon. </w:t>
      </w:r>
      <w:r>
        <w:rPr>
          <w:rFonts w:ascii="Times New Roman" w:cs="Times New Roman" w:eastAsia="Times New Roman" w:hAnsi="Times New Roman"/>
          <w:sz w:val="18"/>
          <w:szCs w:val="18"/>
          <w:color w:val="auto"/>
        </w:rPr>
        <w:t>Pursuant to an employment agreement dated February 1, 2016, by and between BiomX Ltd. and Mr. Solomon, as amended,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Solomon was entitled to a base salary of NIS 100,000, or approximately $27,304, per month, and an additional gross payment of NIS 25,000, or approximately $6,759, per month for up to 40 hours per month worked outside of normal business hours and normal business days (together with the base salary, Mr. Solomon’s Salary). BiomX Ltd. also made customary contributions on Mr. Solomon’s behalf to a pension fund or managers insurance company, at his election, equal to 8.33% of his Salary allocated to severance pay, and an additional 5.00% (managers insurance) or 6.50% (pension fund) of his Salary allocated to a provident fund or pension plan, together with disability insurance contributions of up to 2.50% of his Salary. These payments were intended to be in lieu of statutory severance pay under the Severance Pay Law 5723-1963 (the “Severance Pay Law”). BiomX Ltd. also contributed 7.50% of his monthly Salary to a recognized educational fund and reimbursed automobile maintenance and transportation expenses of NIS 2,000, or $541, per month. Mr. Solomon was also entitled to non-statutory 12 months’ severance upon (i) resignation with good reason or (ii) termination without cause, subject to a release and continued compliance. On March 24, 2025, the Board approved a cash payment equal to three months’ salary on account of his non-statutory severance agreement, following which his non-statutory severance was reduced to nine months. Mr. Solomon resigned as Chief Executive Officer and from the Board effective March 4, 2026.</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Marina Wolfson. </w:t>
      </w:r>
      <w:r>
        <w:rPr>
          <w:rFonts w:ascii="Times New Roman" w:cs="Times New Roman" w:eastAsia="Times New Roman" w:hAnsi="Times New Roman"/>
          <w:sz w:val="18"/>
          <w:szCs w:val="18"/>
          <w:color w:val="auto"/>
        </w:rPr>
        <w:t>Pursuant to an employment agreement dated December 1, 2019, by and between BiomX Ltd. and Ms. Wolfson, as amended, she served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our Chief Financial Officer and was entitled to a base salary of NIS 54,080, or approximately $14,620, per month, and an additional gross payment of NIS 13,520, or approximately $3,655, per month for up to 40 hours per month worked outside of normal business hours and normal business days (together, Ms. Wolfson’s Salary). BiomX Ltd. made customary pension, severance, provident fund and disability insurance contributions on her behalf on terms consistent with those described above (insuring up to 75% of her Salary for disability), in lieu of statutory severance under the Severance Pay Law, contributed 7.50% of her monthly Salary (not to exceed NIS 15,712, or approximately $4,248) to a recognized educational fund, and reimbursed automobile and transportation expenses of NIS 2,500, or approximately $676, per month. Ms. Wolfson was also entitled to non-statutory 9 months’ severance upon (i) resignation with good reason or (ii) termination without cause, subject to a release and continued compliance. On March 24, 2025, the Board approved a cash payment equal to three months’ salary on account of her non-statutory severance agreement, following which her non-statutory severance was reduced to six months. Ms. Wolfson resigned as Chief Financial Officer effective February 24, 2026.</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Dr. Merav Bassan. </w:t>
      </w:r>
      <w:r>
        <w:rPr>
          <w:rFonts w:ascii="Times New Roman" w:cs="Times New Roman" w:eastAsia="Times New Roman" w:hAnsi="Times New Roman"/>
          <w:sz w:val="18"/>
          <w:szCs w:val="18"/>
          <w:color w:val="auto"/>
        </w:rPr>
        <w:t>Pursuant to an employment agreement dated August 26, 2019, by and between BiomX Ltd. and Dr. Bassan, as amended, she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Chief Development Officer and was entitled to a base salary of NIS 62,800, or approximately $16,978, per month, and an additional gross payment of NIS 15,700, or approximately $4,244, per month for up to 40 hours per month worked outside of normal business hours and normal business days (together, Dr. Bassan’s Salary). BiomX Ltd. made customary pension, severance, provident fund and disability insurance contributions on her behalf on terms consistent with those described above (including up to 7.30% allocated to a provident fund or pension plan in the case of managers insurance, and insuring up to 75% of her Salary for disability), in lieu of statutory severance under the Severance Pay Law, contributed 7.50% of her monthly Salary to a recognized educational fund, and reimbursed automobile and transportation expenses of NIS 2,500, or approximately $676, per month. Dr. Bassan was also entitled to non-statutory 9 months’ severance upon (i) resignation with good reason or (ii) termination without cause, subject to a release and continued compliance. On March 24, 2025, the Board approved a cash payment equal to three months’ salary on account of her non-statutory severance agreement, following which her non-statutory severance was reduced to six months. Dr. Bassan resigned as Chief Development Officer effective February 24, 2026.</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2025 Fiscal Year-End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equity awards held by the named executive officers that were outstanding as of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6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Expiration</w:t>
            </w:r>
          </w:p>
        </w:tc>
      </w:tr>
      <w:tr>
        <w:trPr>
          <w:trHeight w:val="245"/>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20" w:type="dxa"/>
            <w:vAlign w:val="bottom"/>
          </w:tcPr>
          <w:p>
            <w:pPr>
              <w:spacing w:after="0"/>
              <w:rPr>
                <w:sz w:val="21"/>
                <w:szCs w:val="21"/>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20" w:type="dxa"/>
            <w:vAlign w:val="bottom"/>
          </w:tcPr>
          <w:p>
            <w:pPr>
              <w:spacing w:after="0"/>
              <w:rPr>
                <w:sz w:val="21"/>
                <w:szCs w:val="21"/>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16"/>
        </w:trPr>
        <w:tc>
          <w:tcPr>
            <w:tcW w:w="3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Solomon</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11/13/2016</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102.17</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01/07/2027</w:t>
            </w:r>
          </w:p>
        </w:tc>
      </w:tr>
      <w:tr>
        <w:trPr>
          <w:trHeight w:val="216"/>
        </w:trPr>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03/26/2017</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959</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321.36</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03/26/2027</w:t>
            </w:r>
          </w:p>
        </w:tc>
      </w:tr>
      <w:tr>
        <w:trPr>
          <w:trHeight w:val="216"/>
        </w:trPr>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05/22/2018</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1,062</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374.88</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05/21/2028</w:t>
            </w:r>
          </w:p>
        </w:tc>
      </w:tr>
      <w:tr>
        <w:trPr>
          <w:trHeight w:val="216"/>
        </w:trPr>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03/29/2019</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1,499</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385.80</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03/29/2029</w:t>
            </w:r>
          </w:p>
        </w:tc>
      </w:tr>
      <w:tr>
        <w:trPr>
          <w:trHeight w:val="216"/>
        </w:trPr>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03/25/2020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1,179.90</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03/25/2030</w:t>
            </w:r>
          </w:p>
        </w:tc>
      </w:tr>
      <w:tr>
        <w:trPr>
          <w:trHeight w:val="216"/>
        </w:trPr>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03/30/2021</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1,333.80</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03/30/2031</w:t>
            </w:r>
          </w:p>
        </w:tc>
      </w:tr>
      <w:tr>
        <w:trPr>
          <w:trHeight w:val="216"/>
        </w:trPr>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03/29/2022</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267.90</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03/29/2032</w:t>
            </w:r>
          </w:p>
        </w:tc>
      </w:tr>
      <w:tr>
        <w:trPr>
          <w:trHeight w:val="216"/>
        </w:trPr>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08/22/2022</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125.40</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08/23/2032</w:t>
            </w:r>
          </w:p>
        </w:tc>
      </w:tr>
      <w:tr>
        <w:trPr>
          <w:trHeight w:val="216"/>
        </w:trPr>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03/01/2023</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673</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76.00</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03/01/2033</w:t>
            </w:r>
          </w:p>
        </w:tc>
      </w:tr>
      <w:tr>
        <w:trPr>
          <w:trHeight w:val="216"/>
        </w:trPr>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07/11/2024</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13,768</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68.97</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07/11/2034</w:t>
            </w:r>
          </w:p>
        </w:tc>
      </w:tr>
      <w:tr>
        <w:trPr>
          <w:trHeight w:val="216"/>
        </w:trPr>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04/14/2025</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20,027</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10.22</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04/14/2035</w:t>
            </w:r>
          </w:p>
        </w:tc>
      </w:tr>
      <w:tr>
        <w:trPr>
          <w:trHeight w:val="198"/>
        </w:trPr>
        <w:tc>
          <w:tcPr>
            <w:tcW w:w="3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Dr. Merav Bassan</w:t>
            </w:r>
          </w:p>
        </w:tc>
        <w:tc>
          <w:tcPr>
            <w:tcW w:w="120" w:type="dxa"/>
            <w:vAlign w:val="bottom"/>
          </w:tcPr>
          <w:p>
            <w:pPr>
              <w:spacing w:after="0"/>
              <w:rPr>
                <w:sz w:val="17"/>
                <w:szCs w:val="17"/>
                <w:color w:val="auto"/>
              </w:rPr>
            </w:pPr>
          </w:p>
        </w:tc>
        <w:tc>
          <w:tcPr>
            <w:tcW w:w="16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10/10/2019</w:t>
            </w:r>
          </w:p>
        </w:tc>
        <w:tc>
          <w:tcPr>
            <w:tcW w:w="120" w:type="dxa"/>
            <w:vAlign w:val="bottom"/>
          </w:tcPr>
          <w:p>
            <w:pPr>
              <w:spacing w:after="0"/>
              <w:rPr>
                <w:sz w:val="17"/>
                <w:szCs w:val="17"/>
                <w:color w:val="auto"/>
              </w:rPr>
            </w:pPr>
          </w:p>
        </w:tc>
        <w:tc>
          <w:tcPr>
            <w:tcW w:w="11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320" w:type="dxa"/>
            <w:vAlign w:val="bottom"/>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1,899.55</w:t>
            </w:r>
          </w:p>
        </w:tc>
        <w:tc>
          <w:tcPr>
            <w:tcW w:w="16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10/10/2029</w:t>
            </w:r>
          </w:p>
        </w:tc>
      </w:tr>
      <w:tr>
        <w:trPr>
          <w:trHeight w:val="216"/>
        </w:trPr>
        <w:tc>
          <w:tcPr>
            <w:tcW w:w="3620" w:type="dxa"/>
            <w:vAlign w:val="bottom"/>
          </w:tcPr>
          <w:p>
            <w:pPr>
              <w:spacing w:after="0"/>
              <w:rPr>
                <w:sz w:val="18"/>
                <w:szCs w:val="18"/>
                <w:color w:val="auto"/>
              </w:rPr>
            </w:pPr>
          </w:p>
        </w:tc>
        <w:tc>
          <w:tcPr>
            <w:tcW w:w="18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03/30/2021</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1,333.80</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03/30/2031</w:t>
            </w:r>
          </w:p>
        </w:tc>
      </w:tr>
      <w:tr>
        <w:trPr>
          <w:trHeight w:val="216"/>
        </w:trPr>
        <w:tc>
          <w:tcPr>
            <w:tcW w:w="3620" w:type="dxa"/>
            <w:vAlign w:val="bottom"/>
          </w:tcPr>
          <w:p>
            <w:pPr>
              <w:spacing w:after="0"/>
              <w:rPr>
                <w:sz w:val="18"/>
                <w:szCs w:val="18"/>
                <w:color w:val="auto"/>
              </w:rPr>
            </w:pPr>
          </w:p>
        </w:tc>
        <w:tc>
          <w:tcPr>
            <w:tcW w:w="18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03/29/2022</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358</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267.90</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03/29/2032</w:t>
            </w:r>
          </w:p>
        </w:tc>
      </w:tr>
      <w:tr>
        <w:trPr>
          <w:trHeight w:val="216"/>
        </w:trPr>
        <w:tc>
          <w:tcPr>
            <w:tcW w:w="3620" w:type="dxa"/>
            <w:vAlign w:val="bottom"/>
          </w:tcPr>
          <w:p>
            <w:pPr>
              <w:spacing w:after="0"/>
              <w:rPr>
                <w:sz w:val="18"/>
                <w:szCs w:val="18"/>
                <w:color w:val="auto"/>
              </w:rPr>
            </w:pPr>
          </w:p>
        </w:tc>
        <w:tc>
          <w:tcPr>
            <w:tcW w:w="18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08/22/2022</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324</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125.40</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08/23/2032</w:t>
            </w:r>
          </w:p>
        </w:tc>
      </w:tr>
      <w:tr>
        <w:trPr>
          <w:trHeight w:val="216"/>
        </w:trPr>
        <w:tc>
          <w:tcPr>
            <w:tcW w:w="3620" w:type="dxa"/>
            <w:vAlign w:val="bottom"/>
          </w:tcPr>
          <w:p>
            <w:pPr>
              <w:spacing w:after="0"/>
              <w:rPr>
                <w:sz w:val="18"/>
                <w:szCs w:val="18"/>
                <w:color w:val="auto"/>
              </w:rPr>
            </w:pPr>
          </w:p>
        </w:tc>
        <w:tc>
          <w:tcPr>
            <w:tcW w:w="18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03/01/2023</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363</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164</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76.00</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03/01/2033</w:t>
            </w:r>
          </w:p>
        </w:tc>
      </w:tr>
      <w:tr>
        <w:trPr>
          <w:trHeight w:val="216"/>
        </w:trPr>
        <w:tc>
          <w:tcPr>
            <w:tcW w:w="3620" w:type="dxa"/>
            <w:vAlign w:val="bottom"/>
          </w:tcPr>
          <w:p>
            <w:pPr>
              <w:spacing w:after="0"/>
              <w:rPr>
                <w:sz w:val="18"/>
                <w:szCs w:val="18"/>
                <w:color w:val="auto"/>
              </w:rPr>
            </w:pPr>
          </w:p>
        </w:tc>
        <w:tc>
          <w:tcPr>
            <w:tcW w:w="1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07/11/2024</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1,563</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3,437</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68.97</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07/11/2034</w:t>
            </w:r>
          </w:p>
        </w:tc>
      </w:tr>
      <w:tr>
        <w:trPr>
          <w:trHeight w:val="234"/>
        </w:trPr>
        <w:tc>
          <w:tcPr>
            <w:tcW w:w="3620" w:type="dxa"/>
            <w:vAlign w:val="bottom"/>
          </w:tcPr>
          <w:p>
            <w:pPr>
              <w:spacing w:after="0"/>
              <w:rPr>
                <w:sz w:val="20"/>
                <w:szCs w:val="20"/>
                <w:color w:val="auto"/>
              </w:rPr>
            </w:pPr>
          </w:p>
        </w:tc>
        <w:tc>
          <w:tcPr>
            <w:tcW w:w="18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04/14/2025</w:t>
            </w:r>
          </w:p>
        </w:tc>
        <w:tc>
          <w:tcPr>
            <w:tcW w:w="1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10.22</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04/14/2035</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Marina Wolfson</w:t>
            </w:r>
          </w:p>
        </w:tc>
        <w:tc>
          <w:tcPr>
            <w:tcW w:w="18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03/25/2020</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1,179.90</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03/25/2030</w:t>
            </w:r>
          </w:p>
        </w:tc>
      </w:tr>
      <w:tr>
        <w:trPr>
          <w:trHeight w:val="216"/>
        </w:trPr>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03/30/2021</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1,333.80</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03/30/2031</w:t>
            </w:r>
          </w:p>
        </w:tc>
      </w:tr>
      <w:tr>
        <w:trPr>
          <w:trHeight w:val="216"/>
        </w:trPr>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03/29/2022</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179</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267.90</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03/29/2032</w:t>
            </w:r>
          </w:p>
        </w:tc>
      </w:tr>
      <w:tr>
        <w:trPr>
          <w:trHeight w:val="216"/>
        </w:trPr>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08/22/2022</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324</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125.40</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08/23/2032</w:t>
            </w:r>
          </w:p>
        </w:tc>
      </w:tr>
      <w:tr>
        <w:trPr>
          <w:trHeight w:val="216"/>
        </w:trPr>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10/29/2023</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52.25</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10/29/2033</w:t>
            </w:r>
          </w:p>
        </w:tc>
      </w:tr>
      <w:tr>
        <w:trPr>
          <w:trHeight w:val="216"/>
        </w:trPr>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03/01/2023</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76.00</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03/01/2033</w:t>
            </w:r>
          </w:p>
        </w:tc>
      </w:tr>
      <w:tr>
        <w:trPr>
          <w:trHeight w:val="216"/>
        </w:trPr>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07/11/2024</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3,437</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68.97</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07/11/2034</w:t>
            </w:r>
          </w:p>
        </w:tc>
      </w:tr>
      <w:tr>
        <w:trPr>
          <w:trHeight w:val="216"/>
        </w:trPr>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04/14/2025</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10.22</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04/14/2035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a non-employee director compensation policy, pursuant to which each non-employee director receives an annual retainer of $35,000. In addition, (i) the chairman of the Board receives an additional annual retainer of $65,500; (ii) each member of our Audit, Compensation and Nominating and Corporate Governance Committees receives an additional annual retainer of $5,000 per committee; and (iii) each chairperson of our Audit, Compensation and Nominating and Corporate Governance Committees receives an additional annual retainer of $5,000 per committee. We pay all amounts in quarterly installments. We also reimburse each of our directors for their reasonable travel, lodging and other out-of-pocket expenses incurred relating to their attendance at Board and committee meetings. Each non-employee director also receives an annual award of options to purchase our Common Stock. One-fourth of each annual option award vests on the first anniversary of the date of grant, and the remainder of the annual option award vests in 12 equal quarterly installments, subject to such director’s continued service on the Board.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compensation earned by our non-employee directors who served during the fiscal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or Paid in</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Cash ($)</w:t>
            </w:r>
          </w:p>
        </w:tc>
        <w:tc>
          <w:tcPr>
            <w:tcW w:w="26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($)(1)(2)</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Comp. ($)</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8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Dr. Russell Greig</w:t>
            </w:r>
            <w:r>
              <w:rPr>
                <w:rFonts w:ascii="Times New Roman" w:cs="Times New Roman" w:eastAsia="Times New Roman" w:hAnsi="Times New Roman"/>
                <w:sz w:val="29"/>
                <w:szCs w:val="29"/>
                <w:color w:val="auto"/>
                <w:vertAlign w:val="superscript"/>
              </w:rPr>
              <w:t>(3)</w:t>
            </w:r>
          </w:p>
        </w:tc>
        <w:tc>
          <w:tcPr>
            <w:tcW w:w="1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100,500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62,600</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163,100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Susan Blum</w:t>
            </w:r>
            <w:r>
              <w:rPr>
                <w:rFonts w:ascii="Times New Roman" w:cs="Times New Roman" w:eastAsia="Times New Roman" w:hAnsi="Times New Roman"/>
                <w:sz w:val="29"/>
                <w:szCs w:val="29"/>
                <w:color w:val="auto"/>
                <w:vertAlign w:val="superscript"/>
              </w:rPr>
              <w:t>(4)</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39,873</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89,873</w:t>
            </w:r>
          </w:p>
        </w:tc>
        <w:tc>
          <w:tcPr>
            <w:tcW w:w="0" w:type="dxa"/>
            <w:vAlign w:val="bottom"/>
          </w:tcPr>
          <w:p>
            <w:pPr>
              <w:spacing w:after="0"/>
              <w:rPr>
                <w:sz w:val="1"/>
                <w:szCs w:val="1"/>
                <w:color w:val="auto"/>
              </w:rPr>
            </w:pPr>
          </w:p>
        </w:tc>
      </w:tr>
      <w:tr>
        <w:trPr>
          <w:trHeight w:val="257"/>
        </w:trPr>
        <w:tc>
          <w:tcPr>
            <w:tcW w:w="59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Jesse Goodman</w:t>
            </w:r>
            <w:r>
              <w:rPr>
                <w:rFonts w:ascii="Times New Roman" w:cs="Times New Roman" w:eastAsia="Times New Roman" w:hAnsi="Times New Roman"/>
                <w:sz w:val="29"/>
                <w:szCs w:val="29"/>
                <w:color w:val="auto"/>
                <w:vertAlign w:val="superscript"/>
              </w:rPr>
              <w:t>(5)</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39,000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39,873</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78,873</w:t>
            </w:r>
          </w:p>
        </w:tc>
        <w:tc>
          <w:tcPr>
            <w:tcW w:w="0" w:type="dxa"/>
            <w:vAlign w:val="bottom"/>
          </w:tcPr>
          <w:p>
            <w:pPr>
              <w:spacing w:after="0"/>
              <w:rPr>
                <w:sz w:val="1"/>
                <w:szCs w:val="1"/>
                <w:color w:val="auto"/>
              </w:rPr>
            </w:pPr>
          </w:p>
        </w:tc>
      </w:tr>
      <w:tr>
        <w:trPr>
          <w:trHeight w:val="257"/>
        </w:trPr>
        <w:tc>
          <w:tcPr>
            <w:tcW w:w="5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Jonathan Leff</w:t>
            </w:r>
            <w:r>
              <w:rPr>
                <w:rFonts w:ascii="Times New Roman" w:cs="Times New Roman" w:eastAsia="Times New Roman" w:hAnsi="Times New Roman"/>
                <w:sz w:val="29"/>
                <w:szCs w:val="29"/>
                <w:color w:val="auto"/>
                <w:vertAlign w:val="superscript"/>
              </w:rPr>
              <w:t>(6)</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39,873</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79,873</w:t>
            </w:r>
          </w:p>
        </w:tc>
        <w:tc>
          <w:tcPr>
            <w:tcW w:w="0" w:type="dxa"/>
            <w:vAlign w:val="bottom"/>
          </w:tcPr>
          <w:p>
            <w:pPr>
              <w:spacing w:after="0"/>
              <w:rPr>
                <w:sz w:val="1"/>
                <w:szCs w:val="1"/>
                <w:color w:val="auto"/>
              </w:rPr>
            </w:pPr>
          </w:p>
        </w:tc>
      </w:tr>
      <w:tr>
        <w:trPr>
          <w:trHeight w:val="257"/>
        </w:trPr>
        <w:tc>
          <w:tcPr>
            <w:tcW w:w="59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Greg Merril</w:t>
            </w:r>
            <w:r>
              <w:rPr>
                <w:rFonts w:ascii="Times New Roman" w:cs="Times New Roman" w:eastAsia="Times New Roman" w:hAnsi="Times New Roman"/>
                <w:sz w:val="29"/>
                <w:szCs w:val="29"/>
                <w:color w:val="auto"/>
                <w:vertAlign w:val="superscript"/>
              </w:rPr>
              <w:t>(4)</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39,000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39,873</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78,873</w:t>
            </w:r>
          </w:p>
        </w:tc>
        <w:tc>
          <w:tcPr>
            <w:tcW w:w="0" w:type="dxa"/>
            <w:vAlign w:val="bottom"/>
          </w:tcPr>
          <w:p>
            <w:pPr>
              <w:spacing w:after="0"/>
              <w:rPr>
                <w:sz w:val="1"/>
                <w:szCs w:val="1"/>
                <w:color w:val="auto"/>
              </w:rPr>
            </w:pPr>
          </w:p>
        </w:tc>
      </w:tr>
      <w:tr>
        <w:trPr>
          <w:trHeight w:val="256"/>
        </w:trPr>
        <w:tc>
          <w:tcPr>
            <w:tcW w:w="5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Dr. Alan Moses</w:t>
            </w:r>
            <w:r>
              <w:rPr>
                <w:rFonts w:ascii="Times New Roman" w:cs="Times New Roman" w:eastAsia="Times New Roman" w:hAnsi="Times New Roman"/>
                <w:sz w:val="29"/>
                <w:szCs w:val="29"/>
                <w:color w:val="auto"/>
                <w:vertAlign w:val="superscript"/>
              </w:rPr>
              <w:t>(7)</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31,389</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76,389</w:t>
            </w:r>
          </w:p>
        </w:tc>
        <w:tc>
          <w:tcPr>
            <w:tcW w:w="0" w:type="dxa"/>
            <w:vAlign w:val="bottom"/>
          </w:tcPr>
          <w:p>
            <w:pPr>
              <w:spacing w:after="0"/>
              <w:rPr>
                <w:sz w:val="1"/>
                <w:szCs w:val="1"/>
                <w:color w:val="auto"/>
              </w:rPr>
            </w:pPr>
          </w:p>
        </w:tc>
      </w:tr>
      <w:tr>
        <w:trPr>
          <w:trHeight w:val="270"/>
        </w:trPr>
        <w:tc>
          <w:tcPr>
            <w:tcW w:w="598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Edward Williams</w:t>
            </w:r>
            <w:r>
              <w:rPr>
                <w:rFonts w:ascii="Times New Roman" w:cs="Times New Roman" w:eastAsia="Times New Roman" w:hAnsi="Times New Roman"/>
                <w:sz w:val="29"/>
                <w:szCs w:val="29"/>
                <w:color w:val="auto"/>
                <w:vertAlign w:val="superscript"/>
              </w:rPr>
              <w:t>(4)</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42,500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29,893</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72,393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gridSpan w:val="2"/>
            <w:vMerge w:val="continue"/>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356,000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283,374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639,374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Amounts in this column represent the aggregate grant date fair value of option awards computed in accordance with FASB ASC Topic 718.</w:t>
      </w:r>
    </w:p>
    <w:p>
      <w:pPr>
        <w:spacing w:after="0" w:line="197"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2025, the Company granted options to directors according to the following structure: 927 options to each continuing non-employee director and 1,853 options to the Chairman of the Board. The Company’s policy is to grant options based, among other things, on the recommendations of a compensation consultant.</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Dr. Greig resigned as Chairman of the Board and from the Board effective March 4, 2026. His resignation did not result from any disagreement with the Company.</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Ms. Blum, Mr. Merril and Mr. Williams each resigned from the Board effective February 25, 2026. None of the resignations resulted from any disagreement with the Company.</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Goodman resigned from the Board effective February 11, 2026 for personal reasons.</w:t>
      </w:r>
    </w:p>
    <w:p>
      <w:pPr>
        <w:spacing w:after="0" w:line="197"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Leff resigned from the Board effective February 9, 2026 for personal reasons. Director fees for Mr. Leff were paid to Deerfield Management Company, L.P.</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Dr. Moses resigned from the Board effective February 19, 2026 for personal reasons.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have any formal policy that requires the Company to grant, or avoid granting, equity-based compensation at certain times. We do not grant equity awards in anticipation of the release of material nonpublic information that is likely to result in changes to the price of our common stock, and do not time the public release of such information based on award grant dates. The timing of any equity grants to executive officers or directors in connection with new hires, promotions, or other non-routine grants is tied to the event giving rise to the award (such as an executive officer’s commencement of employment or promotion effective date).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the Company’s Common Stock as of the Record Date by: (i) each person known to the Company to beneficially own more than 5% of the outstanding shares of Common Stock; (ii) each of the Company’s directors; (iii) each of the Company’s executive officers; and (iv) all of the Company’s current directors and executive officers as a group. As of the Record Date, there were 11,160,153 shares of Common Stock outstanding.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r>
      <w:tr>
        <w:trPr>
          <w:trHeight w:val="245"/>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8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5% or Greater Stockholders:</w:t>
            </w: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Water IO Ltd.</w:t>
            </w:r>
            <w:r>
              <w:rPr>
                <w:rFonts w:ascii="Times New Roman" w:cs="Times New Roman" w:eastAsia="Times New Roman" w:hAnsi="Times New Roman"/>
                <w:sz w:val="29"/>
                <w:szCs w:val="29"/>
                <w:color w:val="auto"/>
                <w:vertAlign w:val="superscript"/>
              </w:rPr>
              <w:t>(1)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1,300,000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11.65%</w:t>
            </w:r>
          </w:p>
        </w:tc>
      </w:tr>
      <w:tr>
        <w:trPr>
          <w:trHeight w:val="257"/>
        </w:trPr>
        <w:tc>
          <w:tcPr>
            <w:tcW w:w="8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Mandragola Ltd.</w:t>
            </w:r>
            <w:r>
              <w:rPr>
                <w:rFonts w:ascii="Times New Roman" w:cs="Times New Roman" w:eastAsia="Times New Roman" w:hAnsi="Times New Roman"/>
                <w:sz w:val="29"/>
                <w:szCs w:val="29"/>
                <w:color w:val="auto"/>
                <w:vertAlign w:val="superscript"/>
              </w:rPr>
              <w:t>(2)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923,000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8.27%</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Oster</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Rokach</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8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Reuven Yeganeh</w:t>
            </w:r>
            <w:r>
              <w:rPr>
                <w:rFonts w:ascii="Times New Roman" w:cs="Times New Roman" w:eastAsia="Times New Roman" w:hAnsi="Times New Roman"/>
                <w:sz w:val="29"/>
                <w:szCs w:val="29"/>
                <w:color w:val="auto"/>
                <w:vertAlign w:val="superscript"/>
              </w:rPr>
              <w:t>(3)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Liat Bidas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Guy Arieli</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Ran Shaked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398"/>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 (6 persons)</w:t>
            </w:r>
            <w:r>
              <w:rPr>
                <w:rFonts w:ascii="Times New Roman" w:cs="Times New Roman" w:eastAsia="Times New Roman" w:hAnsi="Times New Roman"/>
                <w:sz w:val="29"/>
                <w:szCs w:val="29"/>
                <w:b w:val="1"/>
                <w:bCs w:val="1"/>
                <w:color w:val="auto"/>
                <w:vertAlign w:val="superscript"/>
              </w:rPr>
              <w:t>(3)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20,000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r>
    </w:tbl>
    <w:p>
      <w:pPr>
        <w:ind w:left="340" w:hanging="332"/>
        <w:spacing w:after="0" w:line="202" w:lineRule="auto"/>
        <w:tabs>
          <w:tab w:leader="none" w:pos="34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the Company’s stock records. The address of Water IO Ltd. is Science Park, 3 Pakris Street, Rehovot, Israel.</w:t>
      </w:r>
    </w:p>
    <w:p>
      <w:pPr>
        <w:spacing w:after="0" w:line="163" w:lineRule="exact"/>
        <w:rPr>
          <w:rFonts w:ascii="Times New Roman" w:cs="Times New Roman" w:eastAsia="Times New Roman" w:hAnsi="Times New Roman"/>
          <w:sz w:val="30"/>
          <w:szCs w:val="30"/>
          <w:color w:val="auto"/>
          <w:vertAlign w:val="superscript"/>
        </w:rPr>
      </w:pPr>
    </w:p>
    <w:p>
      <w:pPr>
        <w:ind w:left="340" w:hanging="332"/>
        <w:spacing w:after="0" w:line="186" w:lineRule="auto"/>
        <w:tabs>
          <w:tab w:leader="none" w:pos="34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the Company’s stock records. The address of Mandragola Ltd. is Bet Sarel, 8 Gavish Street, 5th Floor, Netanya, Israel.</w:t>
      </w:r>
    </w:p>
    <w:p>
      <w:pPr>
        <w:spacing w:after="0" w:line="198" w:lineRule="exact"/>
        <w:rPr>
          <w:rFonts w:ascii="Times New Roman" w:cs="Times New Roman" w:eastAsia="Times New Roman" w:hAnsi="Times New Roman"/>
          <w:sz w:val="30"/>
          <w:szCs w:val="30"/>
          <w:color w:val="auto"/>
          <w:vertAlign w:val="superscript"/>
        </w:rPr>
      </w:pPr>
    </w:p>
    <w:p>
      <w:pPr>
        <w:jc w:val="both"/>
        <w:ind w:left="340" w:hanging="332"/>
        <w:spacing w:after="0" w:line="224" w:lineRule="auto"/>
        <w:tabs>
          <w:tab w:leader="none" w:pos="34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Yeganeh is an affiliate of the purchaser under the Securities Purchase Agreement dated December 26, 2025. The shares shown for Mr. Yeganeh reflect shares held of record by him and do not include shares of Common Stock that may be issuable upon conversion of Series Y Convertible Preferred Stock or upon exercise of warrants held by the purchaser or its affiliates, in each case subject to beneficial ownership limitations. Mr. Yeganeh’s beneficial ownership, and that of the group, is subject to confirmation based on the Company’s review of conversions and exercises effected through, and the purchaser’s holdings as of, the Record Date.</w:t>
      </w:r>
    </w:p>
    <w:p>
      <w:pPr>
        <w:spacing w:after="0" w:line="201"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 of the outstanding Common Stock.</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generally includes any shares over which a person exercises sole or shared voting or investment power. Shares of Common Stock subject to options, warrants, or other rights exercisable within 60 days of the Record Date are deemed beneficially owned by the person holding such securities for purposes of computing the percentage of ownership of such person, but are not treated as outstanding for purposes of computing the percentage of any other person. The column entitled “Percentage of Outstanding Shares” is based on a total of 11,160,153 shares of our Common Stock outstanding as of the Record Date. Except as otherwise set forth below, the address of each beneficial owner is c/o BiomX Inc., 850 New Burton Road, Suite 201, Dover, DE 19904. Beneficial ownership representing less than one percent of our outstanding Common Stock is denoted with an “*.”</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Note: Based on the Company’s records, 7,721,861 shares (approximately 69.2% of the outstanding Common Stock) are held of record by Cede &amp; Co., as nominee for The Depository Trust Company. Shares held in “street name” through Cede &amp; Co. are held for the benefit of numerous beneficial owners and are not reflected in the table above as beneficially owned by Cede &amp; Co. The table reflects beneficial ownership known to the Company based on its stock records and filings made with the SEC.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as of December 31, 2025 regarding shares of Common Stock that may be issued under the Company’s equity compensation plans.</w:t>
      </w:r>
    </w:p>
    <w:p>
      <w:pPr>
        <w:sectPr>
          <w:pgSz w:w="11900" w:h="16838" w:orient="portrait"/>
          <w:cols w:equalWidth="0" w:num="1">
            <w:col w:w="11240"/>
          </w:cols>
          <w:pgMar w:left="320" w:top="90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45688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5688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compensation plans approved by security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 Omnibus Long-Term Incentive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2015 Employee Stock Option Plan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remaining</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available</w:t>
            </w:r>
          </w:p>
        </w:tc>
      </w:tr>
      <w:tr>
        <w:trPr>
          <w:trHeight w:val="216"/>
        </w:trPr>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 future</w:t>
            </w:r>
          </w:p>
        </w:tc>
      </w:tr>
      <w:tr>
        <w:trPr>
          <w:trHeight w:val="216"/>
        </w:trPr>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issuance</w:t>
            </w:r>
          </w:p>
        </w:tc>
      </w:tr>
      <w:tr>
        <w:trPr>
          <w:trHeight w:val="216"/>
        </w:trPr>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to be Issued</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under equity</w:t>
            </w:r>
          </w:p>
        </w:tc>
      </w:tr>
      <w:tr>
        <w:trPr>
          <w:trHeight w:val="216"/>
        </w:trPr>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Upon</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Price of</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plans</w:t>
            </w:r>
          </w:p>
        </w:tc>
      </w:tr>
      <w:tr>
        <w:trPr>
          <w:trHeight w:val="216"/>
        </w:trPr>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(excluding</w:t>
            </w:r>
          </w:p>
        </w:tc>
      </w:tr>
      <w:tr>
        <w:trPr>
          <w:trHeight w:val="216"/>
        </w:trPr>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16"/>
        </w:trPr>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warrants</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warrants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reflected</w:t>
            </w:r>
          </w:p>
        </w:tc>
      </w:tr>
      <w:tr>
        <w:trPr>
          <w:trHeight w:val="216"/>
        </w:trPr>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and Rights</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and Rights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column</w:t>
            </w:r>
          </w:p>
        </w:tc>
      </w:tr>
      <w:tr>
        <w:trPr>
          <w:trHeight w:val="245"/>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 (c)</w:t>
            </w:r>
          </w:p>
        </w:tc>
      </w:tr>
      <w:tr>
        <w:trPr>
          <w:trHeight w:val="427"/>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1,797,391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5,818,677</w:t>
            </w:r>
          </w:p>
        </w:tc>
      </w:tr>
      <w:tr>
        <w:trPr>
          <w:trHeight w:val="234"/>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204,974</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r>
      <w:tr>
        <w:trPr>
          <w:trHeight w:val="250"/>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2,002,365</w:t>
            </w:r>
          </w:p>
        </w:tc>
        <w:tc>
          <w:tcPr>
            <w:tcW w:w="2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4.09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5,818,677</w:t>
            </w:r>
          </w:p>
        </w:tc>
      </w:tr>
      <w:tr>
        <w:trPr>
          <w:trHeight w:val="21"/>
        </w:trPr>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600" w:space="720"/>
            <w:col w:w="3920"/>
          </w:cols>
          <w:pgMar w:left="320" w:top="900" w:right="339" w:bottom="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above is presented as of December 31, 2025, the end of our last completed fiscal year. On April 10, 2026, our stockholders approved the 2026 Plan, which replaced the 2019 Omnibus Long-Term Incentive Plan for purposes of new awards. The table above does not reflect the 2026 Plan or the amendment to the 2026 Plan described in Proposal 2.</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16(a) of the Exchange Act requires our directors, executive officers and persons who own more than 10% of our Common Stock to file with the SEC initial reports of ownership and reports of changes in ownership of Common Stock and other of our equity securities. Based solely on our review of the reports furnished to us and written representations from reporting persons, we believe that, during the fiscal year ended December 31, 2025, all of our officers, directors and 10% stockholders made the filings required pursuant to Section 16(a) on a timely basis.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are descriptions of transactions since January 1, 2024 to which the Company has been or will be a party in which the amount involved exceeded or will exceed the lesser of $120,000 or one percent of the average of the Company’s total assets at year-end for the last two completed fiscal years, and in which any director, executive officer, holder of more than 5% of any class of the Company’s capital stock, or any member of the immediate family of any of the foregoing persons, had or will have a direct or indirect material interest, other than compensation arrangements with directors and executive officers (which are described under “Executive Compensation” above) and indemnification agreements (which are described under “Indemnification Agreements” below).</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Series Y Convertible Preferred Stock Private Placement (Pyu Pyu Capital, LLC). </w:t>
      </w:r>
      <w:r>
        <w:rPr>
          <w:rFonts w:ascii="Times New Roman" w:cs="Times New Roman" w:eastAsia="Times New Roman" w:hAnsi="Times New Roman"/>
          <w:sz w:val="18"/>
          <w:szCs w:val="18"/>
          <w:color w:val="auto"/>
        </w:rPr>
        <w:t>On December 26, 2025, the Company entered into a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Agreement with Pyu Pyu Capital, LLC (the “Series Y Investor”), pursuant to which the Company agreed to issue and sell, in a private placement, an aggregate of 3,000 shares of newly-created Series Y Convertible Preferred Stock with an aggregate stated value of $3 million, and warrants to purchase up to 3,300,000 shares of Common Stock at an initial exercise price of $2.00 per share, in exchange for aggregate gross proceeds of $3.0 million. The transaction closed on January 13, 2026.</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Between March 12-17, 2026, all of the Series Y Convertible Preferred Stock were converted by the Series Y Investor into a total of 1,650,000 shares of Common Stock. On March 13, 2026, the warrants issued in connection with the Series Y financing were amended to (i) reduce the exercise price from $2.00 per share to $1.00 per share and (ii) reduce the exercise period from five years to one year. Following the amendment, the warrants were assigned by Pyu Pyu Capital to sub-investors and were subsequently exercised in full.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Reuven Yeganeh, who has served as a director of the Company since January 2026, is the managing member of Pyu Pyu Capital. Mr. Yeganeh’s appointment to the Board became effective at the closing of the Series Y financing on January 13, 2026. The Series Y financing and the subsequent warrant amendment were approved by the Board, with Mr. Yeganeh recusing himself from the Board’s deliberations and votes regarding the warrant amendment.</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Acquisition of Zorro Net Ltd. from Water IO Ltd. </w:t>
      </w:r>
      <w:r>
        <w:rPr>
          <w:rFonts w:ascii="Times New Roman" w:cs="Times New Roman" w:eastAsia="Times New Roman" w:hAnsi="Times New Roman"/>
          <w:sz w:val="18"/>
          <w:szCs w:val="18"/>
          <w:color w:val="auto"/>
        </w:rPr>
        <w:t>On April 10, 2026, the Company entered into and simultaneously closed the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by a Stock Purchase Agreement with Water IO Ltd., pursuant to which the Company acquired all of the issued and outstanding share capital of Zorro Net Ltd. The consideration paid by the Company consisted of (i) 1,300,000 shares of Common Stock and (ii) a non-convertible promissory note in the principal amount of $1,250,000, bearing interest at the short-term Applicable Federal Rate, with a maturity date of July 7, 2026. The Company also assumed certain obligations to Zorronet’s founders and former shareholders, including a performance-based earnout payable no later than March 31, 2027 in an amount equal to the greater of (x) 125% of Zorronet’s consolidated revenue for fiscal year 2026 and (y) eight (8) times Zorronet’s consolidated EBITDA for fiscal year 2026, and an obligation to retain certain key employees for three (3) years.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Water IO Ltd. is an indirect subsidiary of T3 Defense, Inc. (Nasdaq: DFNS), on whose board of directors Mr. Reuven Yeganeh, a director of the Company, then served. Mr. David Rokach, the Company’s Chief Financial Officer, was also then on the board of directors of T3 Defense, Inc. In light of these relationships, Mr. Yeganeh recused himself from the Board’s deliberations and votes regarding the approval of the Water IO transaction. The Board, with the interested directors abstaining, determined that the terms of the Water IO transaction were fair to the Company and were negotiated on an arm’s-length basis.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Acquisition of DR. Frucht Systems Ltd. from Mandragola Ltd. </w:t>
      </w:r>
      <w:r>
        <w:rPr>
          <w:rFonts w:ascii="Times New Roman" w:cs="Times New Roman" w:eastAsia="Times New Roman" w:hAnsi="Times New Roman"/>
          <w:sz w:val="18"/>
          <w:szCs w:val="18"/>
          <w:color w:val="auto"/>
        </w:rPr>
        <w:t>On March 31, 2026, the Company and Mandragola Ltd. entered into an Option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Undertaking Agreement pursuant to which the Company was granted an exclusive option to purchase 100% of Mandragola’s shareholdings in DR. Frucht Systems Ltd. (“DFSL”), representing 60% of the issued and outstanding voting equity capital of DFSL on a fully-diluted basis. On April 13, 2026, the Company exercised that option and entered into the transactions contemplated by a Stock Purchase and Assignment Agreement with Mandragola.</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aggregate consideration paid by the Company to Mandragola consisted of (i) a cash payment of $750,000 (of which $450,000 was previously advanced by the Company to Mandragola); (ii) an unsecured convertible promissory note in the principal amount of $3,000,000, bearing interest at 9% per annum, maturing on April 13, 2029, and convertible, as to principal and accrued interest, solely at the Company’s option, into shares of Common Stock at a conversion price of $12.00 per share, subject to customary adjustments and further subject to a minimum 10-day volume-weighted average price of the Common Stock of $12.00 or more (the “Mandragola Note”); (iii) 923,000 shares of Common Stock; (iv) pre-funded warrants exercisable for an aggregate of 923,000 shares of Common Stock at an exercise price of $0.0001 per share; and (v) a five-year warrant exercisable for an aggregate of 3,692,000 shares of Common Stock at an exercise price of $12.00 per share. In addition, in the event that DFSL records annual revenues of $25,000,000 or more in any fiscal year on or after fiscal year 2027, Mandragola is entitled to a bonus payment equal to 5% of such recorded annual revenues, payable at the Company’s discretion in restricted shares of Common Stock or cash. The aggregate number of shares of Common Stock issuable upon conversion of the Mandragola Note and exercise of the pre-funded warrants and five-year warrant is subject to obtaining stockholder approval as required by the rules of the NYSE American with respect to the issuance of shares in excess of 19.99% of the outstanding Common Stock as of the date of the Mandragola transaction. The governing instruments provide that Mandragola is subject to a 9.9% beneficial ownership blocker.</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Severance Cash Payments to Named Executive Officers. </w:t>
      </w:r>
      <w:r>
        <w:rPr>
          <w:rFonts w:ascii="Times New Roman" w:cs="Times New Roman" w:eastAsia="Times New Roman" w:hAnsi="Times New Roman"/>
          <w:sz w:val="18"/>
          <w:szCs w:val="18"/>
          <w:color w:val="auto"/>
        </w:rPr>
        <w:t>On March 24, 2025, the Board approved a cash payment equal to three months’ salary for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Mr. Solomon, Ms. Wolfson and Dr. Bassan on account of each officer’s then existing personal non-statutory severance agreement. As described under “Executive Compensation” above, the payment reduced Mr. Solomon’s non-statutory severance entitlement from twelve months to nine months, and reduced the entitlement of each of Ms. Wolfson and Dr. Bassan from nine months to six months. Mr. Solomon resigned from all positions held with the Company effective March 4, 2026, and each of Ms. Wolfson and Dr. Bassan resigned from all positions held with the Company effective February 24, 2026.</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Indemnification Agreements. </w:t>
      </w:r>
      <w:r>
        <w:rPr>
          <w:rFonts w:ascii="Times New Roman" w:cs="Times New Roman" w:eastAsia="Times New Roman" w:hAnsi="Times New Roman"/>
          <w:sz w:val="18"/>
          <w:szCs w:val="18"/>
          <w:color w:val="auto"/>
        </w:rPr>
        <w:t>The Company has entered into indemnification agreements with each of its current and former directors and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These agreements provide that the Company will indemnify each of its directors and executive officers to the fullest extent permitted by Delaware law. The form of indemnification agreement is filed as an exhibit to our Annual Report on Form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adopted a written Related Person Transaction Policy that establishes procedures for the identification, review, and approval of transactions with related persons, including specifying that approvals are made by the Audit Committee or, in the case of transactions in which any Audit Committee member has an interest, by a majority of the disinterested members of the Board. In approving or rejecting a proposed transaction, the relevant body considers the relevant facts and circumstances, including whether the transaction is on terms no less favorable to the Company than the Company could obtain from unaffiliated third parties.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has reviewed the materiality of any relationship that each of the Company’s directors has with the Company, either directly or indirectly. Based upon this review, the Board has affirmatively determined that each of Liat Bidas, Guy Arieli and Ran Shaked is an independent director under the listing standards of the NYSE American, and, with respect to the members of the Audit Committee, satisfies the additional independence requirements of Rule 10A-3 under the Exchange Act. The Board has determined that Mr. Yeganeh is not independent for the reasons described under “The Board and Its Committees — Director Independence” above.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Board knows of no other matters that are likely to be brought before the Annual Meeting. If any other matters properly come before the Annual Meeting, the persons named in the enclosed proxy card will vote the shares represented thereby in accordance with their best judgment on such matters.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that this Proxy Statement is incorporated by reference into any other filing by the Company under the Securities Act of 1933, as amended, or the Exchange Act, the sections of this Proxy Statement entitled “Audit Committee Report” and “Board of Directors and Executive Officers” (to the extent permitted by the rules of the SEC) will not be deemed incorporated by reference unless specifically provided otherwise in such filing.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 AND NOMINATIONS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Stockholders who intend to present proposals for inclusion in the proxy statement and form of proxy relating to our 2027 Annual Meeting of Stockholders pursuant to Rule 14a-8 under the Exchange Act must submit their proposals so that they are received by the Secretary of the Company at our principal executive offices no later than February 8, 2027, and such proposals must otherwise comply with the requirements of Rule 14a-8. In addition, our amended and restated bylaws establish advance-notice procedures with regard to stockholder proposals and director nominations that are not submitted for inclusion in the proxy statement but that a stockholder instead wishes to present directly at an annual meeting. To be timely under our bylaws, a stockholder’s notice must be delivered to, or mailed and received by, the Secretary of the Company at our principal executive offices within the time periods set forth in our bylaws. To comply with the universal proxy rules, stockholders who intend to solicit proxies in support of director nominees other than the Company’s nominees must also provide notice that sets forth the information required by Rule 14a-19 under the Exchange Act.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files annual, quarterly and current reports, proxy statements and other information with the SEC. The Company’s SEC filings are available to the public at the SEC’s website at www.sec.gov. You may also obtain copies of these documents, free of charge, from the Company’s website at www.biomx.com under the “Investors” section, or by writing to the Company at: BiomX Inc., 850 New Burton Road, Suite 201, Dover, DE 19904, Attention: Corporate Secretary.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the Company’s Common Stock is Continental Stock Transfer &amp; Trust Company, 1 State Street, 30th Floor, New York, NY 10004.</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DELIVERY OF DOCUMENTS TO STOCKHOLDERS SHARING AN ADDRESS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proxy statements and annual reports with respect to two or more stockholders sharing the same address by delivering a single set of proxy materials addressed to those stockholders. This process, commonly referred to as “householding,” potentially provides extra convenience for stockholders and cost savings for companies. Stockholders who participate in householding will continue to be able to access and receive separate proxy cards. If you share an address with another stockholder and have received only one set of proxy materials, you may request a separate copy of these materials at no cost to you by writing to BiomX Inc., 850 New Burton Road, Suite 201, Dover, DE 19904, Attention: Corporate Secretary, or by calling (844) 972-0500. For future annual meetings, you may request separate copies of the proxy materials, or request that we send only one set of proxy materials to you if you are receiving multiple copies, using the same contact information.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Oster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Dover, 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8, 2026</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BIOMX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EQUITY INCENTIVE PLAN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FIRST AMENDMENT TO BIOMX INC. 2026 EQUITY INCENTIVE PLAN (this “Amendment”) of the BiomX Inc. 2026 Equity Incentive Plan (the “Plan”) is made as of the 27th day of May, 2026, by the Board of Directors (the “Board”) of BiomX Inc., a Delaware corporation (the “Company”), pursuant to Section 18 of the Plan. All capitalized terms used but not defined herein shall have the meanings set forth in the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WHEREAS, the Board, in its capacity as the Administrator of the Plan, may amend the Plan pursuant to Section 18 of the Plan, provided that any amendment that would increase the number of shares of Common Stock available for issuance under the Plan (other than pursuant to Section 4(c) or Section 14 of the Plan) shall not be effective without the approval of the Company’s stockholders (the “Amendment Conditions”);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the Board has determined that it is in the best interests of the Company and its stockholders to increase the number of shares of Common Stock reserved and available for issuance under the Plan by 5,460,000 shares, from 1,390,000 shares to 6,850,000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this Amendment satisfies the Amendment Conditions; and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this Amendment has been submitted to the holders of the outstanding capital stock of the Company (the “Stockholders”) and the Stockholders have approved the adoption of this Amendment at the Annual Meeting of Stockholders held on June 26,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the Board hereby amends the Plan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Authorized Number of Shares. Section 4(a) of the Plan is hereby amended and restated in its entirety to read as follows: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Authorized Number of Shares. Subject to adjustment from time to time as provided in Section 14 and the automatic increase set forth in Section 4(c) below, the aggregate number of shares of Common Stock initially available for issuance under the Plan shall be Six Million Eight Hundred Fifty Thousand (6,850,000) shares (the “Initial Share Reserve”). Shares issued under the Plan shall be drawn from authorized and unissued shares or shares now held or subsequently acquired by the Company as treasury shares.”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2. Miscellaneous.</w:t>
      </w:r>
    </w:p>
    <w:p>
      <w:pPr>
        <w:spacing w:after="0" w:line="225" w:lineRule="exact"/>
        <w:rPr>
          <w:sz w:val="20"/>
          <w:szCs w:val="20"/>
          <w:color w:val="auto"/>
        </w:rPr>
      </w:pPr>
    </w:p>
    <w:p>
      <w:pPr>
        <w:jc w:val="both"/>
        <w:ind w:firstLine="8"/>
        <w:spacing w:after="0" w:line="261" w:lineRule="auto"/>
        <w:tabs>
          <w:tab w:leader="none" w:pos="2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Except as specifically modified herein, the Plan shall remain in full force and effect in accordance with all of the terms and conditions thereof, except that the Plan is hereby amended in all other respects, if any, necessary to conform with the intent of the amendment set forth in this Amendment. Upon the effectiveness of this Amendment, each reference in the Plan to “the Plan,” “hereunder,” “herein,” or words of similar import shall mean and be a reference to the Plan as amended by this Amendment.</w:t>
      </w:r>
    </w:p>
    <w:p>
      <w:pPr>
        <w:spacing w:after="0" w:line="179" w:lineRule="exact"/>
        <w:rPr>
          <w:rFonts w:ascii="Times New Roman" w:cs="Times New Roman" w:eastAsia="Times New Roman" w:hAnsi="Times New Roman"/>
          <w:sz w:val="18"/>
          <w:szCs w:val="18"/>
          <w:color w:val="auto"/>
        </w:rPr>
      </w:pPr>
    </w:p>
    <w:p>
      <w:pPr>
        <w:jc w:val="both"/>
        <w:ind w:firstLine="8"/>
        <w:spacing w:after="0" w:line="266" w:lineRule="auto"/>
        <w:tabs>
          <w:tab w:leader="none" w:pos="26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Severability. Each provision of this Amendment shall be considered severable, and if for any reason any provision or provisions herein are determined to be invalid, unenforceable or illegal under any existing or future law, such invalidity, unenforceability or illegality shall not impair the operation of or affect those portions of this Amendment that are valid, enforceable and legal.</w:t>
      </w:r>
    </w:p>
    <w:p>
      <w:pPr>
        <w:spacing w:after="0" w:line="17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 This Amendment shall be governed by and construed in accordance with the laws of the State of Delaware.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Company has caused this Amendment to be executed by its duly authorized officer as of the date first written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BIOMX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BIOMX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2026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8"/>
        </w:trPr>
        <w:tc>
          <w:tcPr>
            <w:tcW w:w="1220" w:type="dxa"/>
            <w:vAlign w:val="bottom"/>
          </w:tcPr>
          <w:p>
            <w:pPr>
              <w:spacing w:after="0"/>
              <w:rPr>
                <w:sz w:val="20"/>
                <w:szCs w:val="20"/>
                <w:color w:val="auto"/>
              </w:rPr>
            </w:pPr>
          </w:p>
        </w:tc>
        <w:tc>
          <w:tcPr>
            <w:tcW w:w="762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BIOMX INC.</w:t>
            </w:r>
          </w:p>
        </w:tc>
        <w:tc>
          <w:tcPr>
            <w:tcW w:w="2400" w:type="dxa"/>
            <w:vAlign w:val="bottom"/>
          </w:tcPr>
          <w:p>
            <w:pPr>
              <w:spacing w:after="0"/>
              <w:rPr>
                <w:sz w:val="20"/>
                <w:szCs w:val="20"/>
                <w:color w:val="auto"/>
              </w:rPr>
            </w:pPr>
          </w:p>
        </w:tc>
      </w:tr>
      <w:tr>
        <w:trPr>
          <w:trHeight w:val="432"/>
        </w:trPr>
        <w:tc>
          <w:tcPr>
            <w:tcW w:w="1220" w:type="dxa"/>
            <w:vAlign w:val="bottom"/>
          </w:tcPr>
          <w:p>
            <w:pPr>
              <w:spacing w:after="0"/>
              <w:rPr>
                <w:sz w:val="24"/>
                <w:szCs w:val="24"/>
                <w:color w:val="auto"/>
              </w:rPr>
            </w:pPr>
          </w:p>
        </w:tc>
        <w:tc>
          <w:tcPr>
            <w:tcW w:w="762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rPr>
              <w:t>2026 EQUITY INCENTIVE PLAN</w:t>
            </w:r>
          </w:p>
        </w:tc>
        <w:tc>
          <w:tcPr>
            <w:tcW w:w="2400" w:type="dxa"/>
            <w:vAlign w:val="bottom"/>
          </w:tcPr>
          <w:p>
            <w:pPr>
              <w:spacing w:after="0"/>
              <w:rPr>
                <w:sz w:val="24"/>
                <w:szCs w:val="24"/>
                <w:color w:val="auto"/>
              </w:rPr>
            </w:pPr>
          </w:p>
        </w:tc>
      </w:tr>
      <w:tr>
        <w:trPr>
          <w:trHeight w:val="432"/>
        </w:trPr>
        <w:tc>
          <w:tcPr>
            <w:tcW w:w="1220" w:type="dxa"/>
            <w:vAlign w:val="bottom"/>
          </w:tcPr>
          <w:p>
            <w:pPr>
              <w:spacing w:after="0"/>
              <w:rPr>
                <w:sz w:val="24"/>
                <w:szCs w:val="24"/>
                <w:color w:val="auto"/>
              </w:rPr>
            </w:pPr>
          </w:p>
        </w:tc>
        <w:tc>
          <w:tcPr>
            <w:tcW w:w="762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400" w:type="dxa"/>
            <w:vAlign w:val="bottom"/>
          </w:tcPr>
          <w:p>
            <w:pPr>
              <w:spacing w:after="0"/>
              <w:rPr>
                <w:sz w:val="24"/>
                <w:szCs w:val="24"/>
                <w:color w:val="auto"/>
              </w:rPr>
            </w:pPr>
          </w:p>
        </w:tc>
      </w:tr>
      <w:tr>
        <w:trPr>
          <w:trHeight w:val="216"/>
        </w:trPr>
        <w:tc>
          <w:tcPr>
            <w:tcW w:w="12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w:t>
            </w:r>
          </w:p>
        </w:tc>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PURPOSE</w:t>
            </w:r>
          </w:p>
        </w:tc>
        <w:tc>
          <w:tcPr>
            <w:tcW w:w="240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2.</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DEFINITIONS</w:t>
            </w:r>
          </w:p>
        </w:tc>
        <w:tc>
          <w:tcPr>
            <w:tcW w:w="240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3.</w:t>
            </w:r>
          </w:p>
        </w:tc>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ADMINISTRATION</w:t>
            </w:r>
          </w:p>
        </w:tc>
        <w:tc>
          <w:tcPr>
            <w:tcW w:w="240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4.</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SUBJECT TO THE PLAN</w:t>
            </w:r>
          </w:p>
        </w:tc>
        <w:tc>
          <w:tcPr>
            <w:tcW w:w="240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5.</w:t>
            </w:r>
          </w:p>
        </w:tc>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ELIGIBILITY</w:t>
            </w:r>
          </w:p>
        </w:tc>
        <w:tc>
          <w:tcPr>
            <w:tcW w:w="240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6.</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OPTIONS</w:t>
            </w:r>
          </w:p>
        </w:tc>
        <w:tc>
          <w:tcPr>
            <w:tcW w:w="240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7.</w:t>
            </w:r>
          </w:p>
        </w:tc>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APPRECIATION RIGHTS</w:t>
            </w:r>
          </w:p>
        </w:tc>
        <w:tc>
          <w:tcPr>
            <w:tcW w:w="240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8.</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STOCK</w:t>
            </w:r>
          </w:p>
        </w:tc>
        <w:tc>
          <w:tcPr>
            <w:tcW w:w="240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9.</w:t>
            </w:r>
          </w:p>
        </w:tc>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STOCK UNITS</w:t>
            </w:r>
          </w:p>
        </w:tc>
        <w:tc>
          <w:tcPr>
            <w:tcW w:w="240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10.</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PERFORMANCE AWARDS</w:t>
            </w:r>
          </w:p>
        </w:tc>
        <w:tc>
          <w:tcPr>
            <w:tcW w:w="240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11.</w:t>
            </w:r>
          </w:p>
        </w:tc>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STOCK-BASED AWARDS</w:t>
            </w:r>
          </w:p>
        </w:tc>
        <w:tc>
          <w:tcPr>
            <w:tcW w:w="240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12.</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CONTROL</w:t>
            </w:r>
          </w:p>
        </w:tc>
        <w:tc>
          <w:tcPr>
            <w:tcW w:w="240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13.</w:t>
            </w:r>
          </w:p>
        </w:tc>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NON-EMPLOYEE DIRECTOR AWARDS</w:t>
            </w:r>
          </w:p>
        </w:tc>
        <w:tc>
          <w:tcPr>
            <w:tcW w:w="240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14.</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 UPON CHANGES IN CAPITALIZATION</w:t>
            </w:r>
          </w:p>
        </w:tc>
        <w:tc>
          <w:tcPr>
            <w:tcW w:w="240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15.</w:t>
            </w:r>
          </w:p>
        </w:tc>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WITHHOLDING</w:t>
            </w:r>
          </w:p>
        </w:tc>
        <w:tc>
          <w:tcPr>
            <w:tcW w:w="240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16.</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PROVISIONS</w:t>
            </w:r>
          </w:p>
        </w:tc>
        <w:tc>
          <w:tcPr>
            <w:tcW w:w="240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17.</w:t>
            </w:r>
          </w:p>
        </w:tc>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CLAWBACK AND RECOUPMENT</w:t>
            </w:r>
          </w:p>
        </w:tc>
        <w:tc>
          <w:tcPr>
            <w:tcW w:w="240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18.</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 AND AMENDMENT OF THE PLAN</w:t>
            </w:r>
          </w:p>
        </w:tc>
        <w:tc>
          <w:tcPr>
            <w:tcW w:w="240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19.</w:t>
            </w:r>
          </w:p>
        </w:tc>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SECTION 409A COMPLIANCE</w:t>
            </w:r>
          </w:p>
        </w:tc>
        <w:tc>
          <w:tcPr>
            <w:tcW w:w="240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20.</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GOVERNING LAW</w:t>
            </w:r>
          </w:p>
        </w:tc>
        <w:tc>
          <w:tcPr>
            <w:tcW w:w="240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21.</w:t>
            </w:r>
          </w:p>
        </w:tc>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SEVERABILITY</w:t>
            </w:r>
          </w:p>
        </w:tc>
        <w:tc>
          <w:tcPr>
            <w:tcW w:w="240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9"/>
              </w:rPr>
              <w:t>15</w:t>
            </w:r>
          </w:p>
        </w:tc>
      </w:tr>
      <w:tr>
        <w:trPr>
          <w:trHeight w:val="238"/>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22.</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CONSTRUCTION</w:t>
            </w:r>
          </w:p>
        </w:tc>
        <w:tc>
          <w:tcPr>
            <w:tcW w:w="240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15</w:t>
            </w:r>
          </w:p>
        </w:tc>
      </w:tr>
      <w:tr>
        <w:trPr>
          <w:trHeight w:val="633"/>
        </w:trPr>
        <w:tc>
          <w:tcPr>
            <w:tcW w:w="122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color w:val="auto"/>
              </w:rPr>
              <w:t>B-2</w:t>
            </w:r>
          </w:p>
        </w:tc>
        <w:tc>
          <w:tcPr>
            <w:tcW w:w="2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SECTION 1. PURPOSE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purpose of the BiomX Inc. 2026 Equity Incentive Plan (the “Plan”) is to attract, retain and motivate employees, officers, directors, consultants, agents, advisors and independent contractors of BiomX Inc., a Delaware corporation (the “Company”), and its Subsidiaries and Affiliates, by providing them the opportunity to acquire a proprietary interest in the Company and to align their interests and efforts with the long-term interests of the Company’s stockholders. The Plan is intended to promote the success and enhance the value of the Company by linking the personal interests of Participants to those of the Company’s stockholders.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shall become effective upon its approval by the stockholders of the Company at an Extraordinary Special Meeting of Stockholders scheduled for April 10, 2026 (the “Effective Date”). Prior plans of the Company, including the Amended and Restated 2019 Omnibus Long-Term Incentive Plan, shall remain in effect with respect to awards previously granted thereunder, but no new awards shall be granted under any prior plan following the Effective Date.</w:t>
      </w:r>
    </w:p>
    <w:p>
      <w:pPr>
        <w:spacing w:after="0" w:line="17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SECTION 2. 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the Plan, the following terms shall have the meanings set forth below:</w:t>
      </w:r>
    </w:p>
    <w:p>
      <w:pPr>
        <w:spacing w:after="0" w:line="221" w:lineRule="exact"/>
        <w:rPr>
          <w:sz w:val="20"/>
          <w:szCs w:val="20"/>
          <w:color w:val="auto"/>
        </w:rPr>
      </w:pPr>
    </w:p>
    <w:p>
      <w:pPr>
        <w:jc w:val="both"/>
        <w:ind w:left="34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“Affiliate” </w:t>
      </w:r>
      <w:r>
        <w:rPr>
          <w:rFonts w:ascii="Times New Roman" w:cs="Times New Roman" w:eastAsia="Times New Roman" w:hAnsi="Times New Roman"/>
          <w:sz w:val="18"/>
          <w:szCs w:val="18"/>
          <w:color w:val="auto"/>
        </w:rPr>
        <w:t>means any entity that directly, or indirectly through one or more intermediaries, controls, is controlled by, or is under common control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as determined by the Plan Administrator.</w:t>
      </w:r>
    </w:p>
    <w:p>
      <w:pPr>
        <w:spacing w:after="0" w:line="155"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“Award” </w:t>
      </w:r>
      <w:r>
        <w:rPr>
          <w:rFonts w:ascii="Times New Roman" w:cs="Times New Roman" w:eastAsia="Times New Roman" w:hAnsi="Times New Roman"/>
          <w:sz w:val="18"/>
          <w:szCs w:val="18"/>
          <w:color w:val="auto"/>
        </w:rPr>
        <w:t>means any Option, Stock Appreciation Right, Restricted Stock, Restricted Stock Unit, Performance Award, or Other Stock-Based Award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granted under the Plan.</w:t>
      </w:r>
    </w:p>
    <w:p>
      <w:pPr>
        <w:spacing w:after="0" w:line="155"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“Award Agreement” </w:t>
      </w:r>
      <w:r>
        <w:rPr>
          <w:rFonts w:ascii="Times New Roman" w:cs="Times New Roman" w:eastAsia="Times New Roman" w:hAnsi="Times New Roman"/>
          <w:sz w:val="18"/>
          <w:szCs w:val="18"/>
          <w:color w:val="auto"/>
        </w:rPr>
        <w:t>means the written or electronic agreement, notice, or other instrument or document evidencing the terms and conditions of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 including any amendment thereto, as approved by the Plan Administrator.</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“Board” </w:t>
      </w:r>
      <w:r>
        <w:rPr>
          <w:rFonts w:ascii="Times New Roman" w:cs="Times New Roman" w:eastAsia="Times New Roman" w:hAnsi="Times New Roman"/>
          <w:sz w:val="18"/>
          <w:szCs w:val="18"/>
          <w:color w:val="auto"/>
        </w:rPr>
        <w:t>means the Board of Directors of the Company.</w:t>
      </w:r>
    </w:p>
    <w:p>
      <w:pPr>
        <w:spacing w:after="0" w:line="225" w:lineRule="exact"/>
        <w:rPr>
          <w:sz w:val="20"/>
          <w:szCs w:val="20"/>
          <w:color w:val="auto"/>
        </w:rPr>
      </w:pPr>
    </w:p>
    <w:p>
      <w:pPr>
        <w:jc w:val="both"/>
        <w:ind w:left="3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“Cause” </w:t>
      </w:r>
      <w:r>
        <w:rPr>
          <w:rFonts w:ascii="Times New Roman" w:cs="Times New Roman" w:eastAsia="Times New Roman" w:hAnsi="Times New Roman"/>
          <w:sz w:val="18"/>
          <w:szCs w:val="18"/>
          <w:color w:val="auto"/>
        </w:rPr>
        <w:t>shall have the meaning set forth in the Participant’s employment agreement or other applicable agreement with the Company or a Subsidiary,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if no such definition exists, shall mean (i) the Participant’s willful and continued failure to perform assigned duties, (ii) the Participant’s engagement in dishonesty, illegal conduct, or gross misconduct that is materially harmful to the Company, (iii) the Participant’s conviction of, or plea of guilty or nolo contendere to, a felony, (iv) the Participant’s breach of any material provision of any agreement with the Company, or (v) the Participant’s willful violation of a material Company policy.</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“Change in Control” </w:t>
      </w:r>
      <w:r>
        <w:rPr>
          <w:rFonts w:ascii="Times New Roman" w:cs="Times New Roman" w:eastAsia="Times New Roman" w:hAnsi="Times New Roman"/>
          <w:sz w:val="18"/>
          <w:szCs w:val="18"/>
          <w:color w:val="auto"/>
        </w:rPr>
        <w:t>shall have the meaning set forth in Section 12 of the Plan.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“Code” </w:t>
      </w:r>
      <w:r>
        <w:rPr>
          <w:rFonts w:ascii="Times New Roman" w:cs="Times New Roman" w:eastAsia="Times New Roman" w:hAnsi="Times New Roman"/>
          <w:sz w:val="18"/>
          <w:szCs w:val="18"/>
          <w:color w:val="auto"/>
        </w:rPr>
        <w:t>means the Internal Revenue Code of 1986, as amended, and the Treasury Regulations promulgated thereunder.</w:t>
      </w:r>
    </w:p>
    <w:p>
      <w:pPr>
        <w:spacing w:after="0" w:line="225" w:lineRule="exact"/>
        <w:rPr>
          <w:sz w:val="20"/>
          <w:szCs w:val="20"/>
          <w:color w:val="auto"/>
        </w:rPr>
      </w:pPr>
    </w:p>
    <w:p>
      <w:pPr>
        <w:jc w:val="both"/>
        <w:ind w:left="3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“Committee” </w:t>
      </w:r>
      <w:r>
        <w:rPr>
          <w:rFonts w:ascii="Times New Roman" w:cs="Times New Roman" w:eastAsia="Times New Roman" w:hAnsi="Times New Roman"/>
          <w:sz w:val="18"/>
          <w:szCs w:val="18"/>
          <w:color w:val="auto"/>
        </w:rPr>
        <w:t>means the Compensation Committee of the Board, or such other committee of the Board as may be designated by the Board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administer the Plan, comprised of two or more members of the Board, each of whom is intended to qualify as a “non-employee director” within the meaning of Rule 16b-3 under the Exchange Act and as an “independent director” under the applicable listing rules of the NYSE American or any other national securities exchange on which the Common Stock is then listed.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“Common Stock” </w:t>
      </w:r>
      <w:r>
        <w:rPr>
          <w:rFonts w:ascii="Times New Roman" w:cs="Times New Roman" w:eastAsia="Times New Roman" w:hAnsi="Times New Roman"/>
          <w:sz w:val="18"/>
          <w:szCs w:val="18"/>
          <w:color w:val="auto"/>
        </w:rPr>
        <w:t>means the common stock of the Company, par value $0.0001 per share.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“Company” </w:t>
      </w:r>
      <w:r>
        <w:rPr>
          <w:rFonts w:ascii="Times New Roman" w:cs="Times New Roman" w:eastAsia="Times New Roman" w:hAnsi="Times New Roman"/>
          <w:sz w:val="18"/>
          <w:szCs w:val="18"/>
          <w:color w:val="auto"/>
        </w:rPr>
        <w:t>means BiomX Inc., a corporation organized under the laws of the State of Delaware, and any successor thereto.</w:t>
      </w:r>
    </w:p>
    <w:p>
      <w:pPr>
        <w:spacing w:after="0" w:line="225"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“Disability” </w:t>
      </w:r>
      <w:r>
        <w:rPr>
          <w:rFonts w:ascii="Times New Roman" w:cs="Times New Roman" w:eastAsia="Times New Roman" w:hAnsi="Times New Roman"/>
          <w:sz w:val="18"/>
          <w:szCs w:val="18"/>
          <w:color w:val="auto"/>
        </w:rPr>
        <w:t>means a permanent and total disability as defined in Section 22(e)(3) of the Code, or as otherwise determined by the Plan Administrator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its sole discretion.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“Effective Date” </w:t>
      </w:r>
      <w:r>
        <w:rPr>
          <w:rFonts w:ascii="Times New Roman" w:cs="Times New Roman" w:eastAsia="Times New Roman" w:hAnsi="Times New Roman"/>
          <w:sz w:val="18"/>
          <w:szCs w:val="18"/>
          <w:color w:val="auto"/>
        </w:rPr>
        <w:t>means April 10, 2026, the date on which the Plan is approved by the stockholders of the Company.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“Eligible Person” </w:t>
      </w:r>
      <w:r>
        <w:rPr>
          <w:rFonts w:ascii="Times New Roman" w:cs="Times New Roman" w:eastAsia="Times New Roman" w:hAnsi="Times New Roman"/>
          <w:sz w:val="18"/>
          <w:szCs w:val="18"/>
          <w:color w:val="auto"/>
        </w:rPr>
        <w:t>means any employee, officer, or director of the Company or a Subsidiary, or any consultant, agent, advisor or independent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contractor who provides bona fide services to the Company or a Subsidiary that (a) are not in connection with the offer and sale of securities in a capital-raising transaction and (b) do not directly or indirectly promote or maintain a market for the Company’s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“Exchange Act” </w:t>
      </w:r>
      <w:r>
        <w:rPr>
          <w:rFonts w:ascii="Times New Roman" w:cs="Times New Roman" w:eastAsia="Times New Roman" w:hAnsi="Times New Roman"/>
          <w:sz w:val="18"/>
          <w:szCs w:val="18"/>
          <w:color w:val="auto"/>
        </w:rPr>
        <w:t>means the Securities Exchange Act of 1934, as amended, and the rules and regulations promulgated thereunder.</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Market Value” </w:t>
      </w:r>
      <w:r>
        <w:rPr>
          <w:rFonts w:ascii="Times New Roman" w:cs="Times New Roman" w:eastAsia="Times New Roman" w:hAnsi="Times New Roman"/>
          <w:sz w:val="18"/>
          <w:szCs w:val="18"/>
          <w:color w:val="auto"/>
        </w:rPr>
        <w:t>means, as of any date, (i) the closing sale price of a share of Common Stock as reported on the NYSE American (or such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national securities exchange on which the Common Stock is then listed) on such date, or if no sale is reported on such date, the closing sale price on the most recent preceding date on which a sale was reported, or (ii) if the Common Stock is not listed on any national securities exchange, such value as determined by the Plan Administrator in good faith in compliance with Section 409A of the Code.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“Incentive Stock Option” or “ISO” </w:t>
      </w:r>
      <w:r>
        <w:rPr>
          <w:rFonts w:ascii="Times New Roman" w:cs="Times New Roman" w:eastAsia="Times New Roman" w:hAnsi="Times New Roman"/>
          <w:sz w:val="18"/>
          <w:szCs w:val="18"/>
          <w:color w:val="auto"/>
        </w:rPr>
        <w:t>means an Option that is intended to qualify as an incentive stock option within the meaning of Section 422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Code.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“Nonqualified Stock Option” or “NQSO” </w:t>
      </w:r>
      <w:r>
        <w:rPr>
          <w:rFonts w:ascii="Times New Roman" w:cs="Times New Roman" w:eastAsia="Times New Roman" w:hAnsi="Times New Roman"/>
          <w:sz w:val="18"/>
          <w:szCs w:val="18"/>
          <w:color w:val="auto"/>
        </w:rPr>
        <w:t>means an Option that is not intended to be, or does not qualify as, an Incentive Stock Option.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“Option” </w:t>
      </w:r>
      <w:r>
        <w:rPr>
          <w:rFonts w:ascii="Times New Roman" w:cs="Times New Roman" w:eastAsia="Times New Roman" w:hAnsi="Times New Roman"/>
          <w:sz w:val="18"/>
          <w:szCs w:val="18"/>
          <w:color w:val="auto"/>
        </w:rPr>
        <w:t>means a right to purchase shares of Common Stock at a specified exercise price, granted pursuant to Section 6 of the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Stock-Based Award” </w:t>
      </w:r>
      <w:r>
        <w:rPr>
          <w:rFonts w:ascii="Times New Roman" w:cs="Times New Roman" w:eastAsia="Times New Roman" w:hAnsi="Times New Roman"/>
          <w:sz w:val="18"/>
          <w:szCs w:val="18"/>
          <w:color w:val="auto"/>
        </w:rPr>
        <w:t>means an Award granted pursuant to Section 11 of the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“Participant” </w:t>
      </w:r>
      <w:r>
        <w:rPr>
          <w:rFonts w:ascii="Times New Roman" w:cs="Times New Roman" w:eastAsia="Times New Roman" w:hAnsi="Times New Roman"/>
          <w:sz w:val="18"/>
          <w:szCs w:val="18"/>
          <w:color w:val="auto"/>
        </w:rPr>
        <w:t>means an Eligible Person who has been granted an Award under the Plan.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“Performance Award” </w:t>
      </w:r>
      <w:r>
        <w:rPr>
          <w:rFonts w:ascii="Times New Roman" w:cs="Times New Roman" w:eastAsia="Times New Roman" w:hAnsi="Times New Roman"/>
          <w:sz w:val="18"/>
          <w:szCs w:val="18"/>
          <w:color w:val="auto"/>
        </w:rPr>
        <w:t>means an Award granted pursuant to Section 10 of the Plan, the vesting or settlement of which is contingent upon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achievement of one or more Performance Goals.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“Performance Goals” </w:t>
      </w:r>
      <w:r>
        <w:rPr>
          <w:rFonts w:ascii="Times New Roman" w:cs="Times New Roman" w:eastAsia="Times New Roman" w:hAnsi="Times New Roman"/>
          <w:sz w:val="18"/>
          <w:szCs w:val="18"/>
          <w:color w:val="auto"/>
        </w:rPr>
        <w:t>means the criteria and objectives determined by the Plan Administrator that shall be satisfied or met as a condition to the grant,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exercisability, vesting, or settlement of an Award, as further described in Section 10.</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“Performance Period” </w:t>
      </w:r>
      <w:r>
        <w:rPr>
          <w:rFonts w:ascii="Times New Roman" w:cs="Times New Roman" w:eastAsia="Times New Roman" w:hAnsi="Times New Roman"/>
          <w:sz w:val="18"/>
          <w:szCs w:val="18"/>
          <w:color w:val="auto"/>
        </w:rPr>
        <w:t>means the period of time determined by the Plan Administrator during which Performance Goals must be achieved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 to a Performance Award.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“Plan” </w:t>
      </w:r>
      <w:r>
        <w:rPr>
          <w:rFonts w:ascii="Times New Roman" w:cs="Times New Roman" w:eastAsia="Times New Roman" w:hAnsi="Times New Roman"/>
          <w:sz w:val="18"/>
          <w:szCs w:val="18"/>
          <w:color w:val="auto"/>
        </w:rPr>
        <w:t>means this BiomX Inc. 2026 Equity Incentive Plan, as it may be amended from time to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“Plan Administrator” </w:t>
      </w:r>
      <w:r>
        <w:rPr>
          <w:rFonts w:ascii="Times New Roman" w:cs="Times New Roman" w:eastAsia="Times New Roman" w:hAnsi="Times New Roman"/>
          <w:sz w:val="18"/>
          <w:szCs w:val="18"/>
          <w:color w:val="auto"/>
        </w:rPr>
        <w:t>means the Board or the Committee, as applicable pursuant to Section 3 of the Plan.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“Restricted Stock” </w:t>
      </w:r>
      <w:r>
        <w:rPr>
          <w:rFonts w:ascii="Times New Roman" w:cs="Times New Roman" w:eastAsia="Times New Roman" w:hAnsi="Times New Roman"/>
          <w:sz w:val="18"/>
          <w:szCs w:val="18"/>
          <w:color w:val="auto"/>
        </w:rPr>
        <w:t>means shares of Common Stock granted pursuant to Section 8 of the Plan that are subject to restrictions on transfer and/or a risk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forfeiture.</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“Restricted Stock Unit” or “RSU” </w:t>
      </w:r>
      <w:r>
        <w:rPr>
          <w:rFonts w:ascii="Times New Roman" w:cs="Times New Roman" w:eastAsia="Times New Roman" w:hAnsi="Times New Roman"/>
          <w:sz w:val="18"/>
          <w:szCs w:val="18"/>
          <w:color w:val="auto"/>
        </w:rPr>
        <w:t>means an Award granted pursuant to Section 9 of the Plan, representing the right to receive one share of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(or the cash equivalent thereof) upon satisfaction of applicable vesting conditions.</w:t>
      </w:r>
    </w:p>
    <w:p>
      <w:pPr>
        <w:spacing w:after="0" w:line="37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“Rule 16b-3” </w:t>
      </w:r>
      <w:r>
        <w:rPr>
          <w:rFonts w:ascii="Times New Roman" w:cs="Times New Roman" w:eastAsia="Times New Roman" w:hAnsi="Times New Roman"/>
          <w:sz w:val="18"/>
          <w:szCs w:val="18"/>
          <w:color w:val="auto"/>
        </w:rPr>
        <w:t>means Rule 16b-3 promulgated under the Exchange Act, as amended from time to time, or any successor provision.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“Section 409A” </w:t>
      </w:r>
      <w:r>
        <w:rPr>
          <w:rFonts w:ascii="Times New Roman" w:cs="Times New Roman" w:eastAsia="Times New Roman" w:hAnsi="Times New Roman"/>
          <w:sz w:val="18"/>
          <w:szCs w:val="18"/>
          <w:color w:val="auto"/>
        </w:rPr>
        <w:t>means Section 409A of the Code, together with any Department of Treasury regulations and other interpretive guidance issued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thereunder.</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Appreciation Right” or “SAR” </w:t>
      </w:r>
      <w:r>
        <w:rPr>
          <w:rFonts w:ascii="Times New Roman" w:cs="Times New Roman" w:eastAsia="Times New Roman" w:hAnsi="Times New Roman"/>
          <w:sz w:val="18"/>
          <w:szCs w:val="18"/>
          <w:color w:val="auto"/>
        </w:rPr>
        <w:t>means an Award granted pursuant to Section 7 of the Plan, representing the right to receive an amount equal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excess of the Fair Market Value of one share of Common Stock on the date of exercise over a specified base price.</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“Subsidiary” </w:t>
      </w:r>
      <w:r>
        <w:rPr>
          <w:rFonts w:ascii="Times New Roman" w:cs="Times New Roman" w:eastAsia="Times New Roman" w:hAnsi="Times New Roman"/>
          <w:sz w:val="18"/>
          <w:szCs w:val="18"/>
          <w:color w:val="auto"/>
        </w:rPr>
        <w:t>means any corporation (other than the Company) in an unbroken chain of corporations beginning with the Company, if each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corporations other than the last corporation in the unbroken chain owns stock possessing fifty percent (50%) or more of the total combined voting power of all classes of stock in one of the other corporations in such chain; provided, however, that with respect to Incentive Stock Options, “Subsidiary” shall have the meaning ascribed to “subsidiary corporation” under Section 424(f) of the Code.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“Substitute Award” </w:t>
      </w:r>
      <w:r>
        <w:rPr>
          <w:rFonts w:ascii="Times New Roman" w:cs="Times New Roman" w:eastAsia="Times New Roman" w:hAnsi="Times New Roman"/>
          <w:sz w:val="18"/>
          <w:szCs w:val="18"/>
          <w:color w:val="auto"/>
        </w:rPr>
        <w:t>means an Award granted under the Plan upon the assumption of, or in substitution for, outstanding equity awards previously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granted by a company or other entity in connection with a corporate transaction, including a merger, combination, consolidation, or acquisition of property or stock.</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“Ten Percent Stockholder” </w:t>
      </w:r>
      <w:r>
        <w:rPr>
          <w:rFonts w:ascii="Times New Roman" w:cs="Times New Roman" w:eastAsia="Times New Roman" w:hAnsi="Times New Roman"/>
          <w:sz w:val="18"/>
          <w:szCs w:val="18"/>
          <w:color w:val="auto"/>
        </w:rPr>
        <w:t>means an individual who, at the time an ISO is granted, owns stock possessing more than ten percent (10%) of the total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combined voting power of all classes of stock of the Company or any Subsidiary.</w:t>
      </w:r>
    </w:p>
    <w:p>
      <w:pPr>
        <w:spacing w:after="0" w:line="15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SECTION 3. ADMINISTRATION</w:t>
      </w:r>
    </w:p>
    <w:p>
      <w:pPr>
        <w:spacing w:after="0" w:line="229" w:lineRule="exact"/>
        <w:rPr>
          <w:sz w:val="20"/>
          <w:szCs w:val="20"/>
          <w:color w:val="auto"/>
        </w:rPr>
      </w:pPr>
    </w:p>
    <w:p>
      <w:pPr>
        <w:jc w:val="both"/>
        <w:ind w:left="320" w:hanging="4"/>
        <w:spacing w:after="0" w:line="258" w:lineRule="auto"/>
        <w:tabs>
          <w:tab w:leader="none" w:pos="57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Administration of the Plan. The Plan shall be administered by the Board. The Board may, in its sole discretion, delegate all or any portion of its authority under the Plan to the Committee. To the extent of any such delegation, references in the Plan to the “Plan Administrator” shall be deemed to refer to the Committee. In the event that the Board does not delegate administration of the Plan to the Committee, references in the Plan to the “Plan Administrator” shall be deemed to refer to the Board. The Board may, at any time, revest in itself any or all of the authority previously delegated to the Committee.</w:t>
      </w:r>
    </w:p>
    <w:p>
      <w:pPr>
        <w:spacing w:after="0" w:line="183" w:lineRule="exact"/>
        <w:rPr>
          <w:rFonts w:ascii="Times New Roman" w:cs="Times New Roman" w:eastAsia="Times New Roman" w:hAnsi="Times New Roman"/>
          <w:sz w:val="18"/>
          <w:szCs w:val="18"/>
          <w:b w:val="1"/>
          <w:bCs w:val="1"/>
          <w:color w:val="auto"/>
        </w:rPr>
      </w:pPr>
    </w:p>
    <w:p>
      <w:pPr>
        <w:ind w:left="580" w:hanging="264"/>
        <w:spacing w:after="0"/>
        <w:tabs>
          <w:tab w:leader="none" w:pos="5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Powers of the Plan Administrator. Subject to the provisions of the Plan, the Plan Administrator shall have full and exclusive authority to:</w:t>
      </w:r>
    </w:p>
    <w:p>
      <w:pPr>
        <w:spacing w:after="0" w:line="225" w:lineRule="exact"/>
        <w:rPr>
          <w:rFonts w:ascii="Times New Roman" w:cs="Times New Roman" w:eastAsia="Times New Roman" w:hAnsi="Times New Roman"/>
          <w:sz w:val="18"/>
          <w:szCs w:val="18"/>
          <w:b w:val="1"/>
          <w:bCs w:val="1"/>
          <w:color w:val="auto"/>
        </w:rPr>
      </w:pPr>
    </w:p>
    <w:p>
      <w:pPr>
        <w:ind w:left="1180" w:hanging="216"/>
        <w:spacing w:after="0"/>
        <w:tabs>
          <w:tab w:leader="none" w:pos="118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select the Eligible Persons to whom Awards are granted;</w:t>
      </w:r>
    </w:p>
    <w:p>
      <w:pPr>
        <w:spacing w:after="0" w:line="225" w:lineRule="exact"/>
        <w:rPr>
          <w:rFonts w:ascii="Times New Roman" w:cs="Times New Roman" w:eastAsia="Times New Roman" w:hAnsi="Times New Roman"/>
          <w:sz w:val="18"/>
          <w:szCs w:val="18"/>
          <w:b w:val="1"/>
          <w:bCs w:val="1"/>
          <w:color w:val="auto"/>
        </w:rPr>
      </w:pPr>
    </w:p>
    <w:p>
      <w:pPr>
        <w:ind w:left="1220" w:hanging="256"/>
        <w:spacing w:after="0"/>
        <w:tabs>
          <w:tab w:leader="none" w:pos="122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determine the type or types of Awards to be granted to each Participant;</w:t>
      </w:r>
    </w:p>
    <w:p>
      <w:pPr>
        <w:spacing w:after="0" w:line="225" w:lineRule="exact"/>
        <w:rPr>
          <w:rFonts w:ascii="Times New Roman" w:cs="Times New Roman" w:eastAsia="Times New Roman" w:hAnsi="Times New Roman"/>
          <w:sz w:val="18"/>
          <w:szCs w:val="18"/>
          <w:b w:val="1"/>
          <w:bCs w:val="1"/>
          <w:color w:val="auto"/>
        </w:rPr>
      </w:pPr>
    </w:p>
    <w:p>
      <w:pPr>
        <w:ind w:left="1280" w:hanging="316"/>
        <w:spacing w:after="0"/>
        <w:tabs>
          <w:tab w:leader="none" w:pos="128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determine the number of shares of Common Stock to be covered by each Award;</w:t>
      </w:r>
    </w:p>
    <w:p>
      <w:pPr>
        <w:spacing w:after="0" w:line="225" w:lineRule="exact"/>
        <w:rPr>
          <w:rFonts w:ascii="Times New Roman" w:cs="Times New Roman" w:eastAsia="Times New Roman" w:hAnsi="Times New Roman"/>
          <w:sz w:val="18"/>
          <w:szCs w:val="18"/>
          <w:b w:val="1"/>
          <w:bCs w:val="1"/>
          <w:color w:val="auto"/>
        </w:rPr>
      </w:pPr>
    </w:p>
    <w:p>
      <w:pPr>
        <w:jc w:val="both"/>
        <w:ind w:left="960" w:firstLine="4"/>
        <w:spacing w:after="0" w:line="261" w:lineRule="auto"/>
        <w:tabs>
          <w:tab w:leader="none" w:pos="1292"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determine the terms and conditions of any Award, including, without limitation, the exercise price, base price, grant price, or purchase price, any restrictions or limitations on the Award, any schedule for vesting, lapse of forfeiture restrictions, or restrictions on the exercisability of an Award, and accelerations or waivers thereof, and any provisions related to non-competition and recapture of gain on an Award;</w:t>
      </w:r>
    </w:p>
    <w:p>
      <w:pPr>
        <w:spacing w:after="0" w:line="39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0" w:right="339" w:bottom="1440" w:gutter="0" w:footer="0" w:header="0"/>
        </w:sectPr>
      </w:pPr>
    </w:p>
    <w:bookmarkStart w:id="32" w:name="page33"/>
    <w:bookmarkEnd w:id="32"/>
    <w:p>
      <w:pPr>
        <w:ind w:left="644" w:firstLine="4"/>
        <w:spacing w:after="0" w:line="282" w:lineRule="auto"/>
        <w:tabs>
          <w:tab w:leader="none" w:pos="899"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determine whether, to what extent, and under what circumstances an Award may be settled in, or the exercise price of an Award may be paid in, cash, shares of Common Stock, other Awards, or other property;</w:t>
      </w:r>
    </w:p>
    <w:p>
      <w:pPr>
        <w:spacing w:after="0" w:line="161" w:lineRule="exact"/>
        <w:rPr>
          <w:rFonts w:ascii="Times New Roman" w:cs="Times New Roman" w:eastAsia="Times New Roman" w:hAnsi="Times New Roman"/>
          <w:sz w:val="18"/>
          <w:szCs w:val="18"/>
          <w:b w:val="1"/>
          <w:bCs w:val="1"/>
          <w:color w:val="auto"/>
        </w:rPr>
      </w:pPr>
    </w:p>
    <w:p>
      <w:pPr>
        <w:ind w:left="644" w:right="20" w:firstLine="4"/>
        <w:spacing w:after="0" w:line="282" w:lineRule="auto"/>
        <w:tabs>
          <w:tab w:leader="none" w:pos="962"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determine whether, to what extent, and under what circumstances cash, shares of Common Stock, other Awards, or other property payable with respect to an Award shall be deferred either automatically or at the election of a Participant;</w:t>
      </w:r>
    </w:p>
    <w:p>
      <w:pPr>
        <w:spacing w:after="0" w:line="161" w:lineRule="exact"/>
        <w:rPr>
          <w:rFonts w:ascii="Times New Roman" w:cs="Times New Roman" w:eastAsia="Times New Roman" w:hAnsi="Times New Roman"/>
          <w:sz w:val="18"/>
          <w:szCs w:val="18"/>
          <w:b w:val="1"/>
          <w:bCs w:val="1"/>
          <w:color w:val="auto"/>
        </w:rPr>
      </w:pPr>
    </w:p>
    <w:p>
      <w:pPr>
        <w:ind w:left="644" w:firstLine="4"/>
        <w:spacing w:after="0" w:line="282" w:lineRule="auto"/>
        <w:tabs>
          <w:tab w:leader="none" w:pos="1012"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construe and interpret the Plan and any Award Agreement, and to establish, amend, or waive rules and regulations for the Plan’s administration;</w:t>
      </w:r>
    </w:p>
    <w:p>
      <w:pPr>
        <w:spacing w:after="0" w:line="161" w:lineRule="exact"/>
        <w:rPr>
          <w:rFonts w:ascii="Times New Roman" w:cs="Times New Roman" w:eastAsia="Times New Roman" w:hAnsi="Times New Roman"/>
          <w:sz w:val="18"/>
          <w:szCs w:val="18"/>
          <w:b w:val="1"/>
          <w:bCs w:val="1"/>
          <w:color w:val="auto"/>
        </w:rPr>
      </w:pPr>
    </w:p>
    <w:p>
      <w:pPr>
        <w:ind w:left="1044" w:hanging="396"/>
        <w:spacing w:after="0"/>
        <w:tabs>
          <w:tab w:leader="none" w:pos="1044"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correct any defect, supply any omission, or reconcile any inconsistency in the Plan or in any Award Agreement;</w:t>
      </w:r>
    </w:p>
    <w:p>
      <w:pPr>
        <w:spacing w:after="0" w:line="225" w:lineRule="exact"/>
        <w:rPr>
          <w:rFonts w:ascii="Times New Roman" w:cs="Times New Roman" w:eastAsia="Times New Roman" w:hAnsi="Times New Roman"/>
          <w:sz w:val="18"/>
          <w:szCs w:val="18"/>
          <w:b w:val="1"/>
          <w:bCs w:val="1"/>
          <w:color w:val="auto"/>
        </w:rPr>
      </w:pPr>
    </w:p>
    <w:p>
      <w:pPr>
        <w:ind w:left="944" w:hanging="296"/>
        <w:spacing w:after="0"/>
        <w:tabs>
          <w:tab w:leader="none" w:pos="944"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amend the terms of any outstanding Award, subject to Section 18; and</w:t>
      </w:r>
    </w:p>
    <w:p>
      <w:pPr>
        <w:spacing w:after="0" w:line="225" w:lineRule="exact"/>
        <w:rPr>
          <w:rFonts w:ascii="Times New Roman" w:cs="Times New Roman" w:eastAsia="Times New Roman" w:hAnsi="Times New Roman"/>
          <w:sz w:val="18"/>
          <w:szCs w:val="18"/>
          <w:b w:val="1"/>
          <w:bCs w:val="1"/>
          <w:color w:val="auto"/>
        </w:rPr>
      </w:pPr>
    </w:p>
    <w:p>
      <w:pPr>
        <w:ind w:left="904" w:hanging="256"/>
        <w:spacing w:after="0"/>
        <w:tabs>
          <w:tab w:leader="none" w:pos="904"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make all other determinations and take all other actions necessary or advisable for the administration of the Plan.</w:t>
      </w:r>
    </w:p>
    <w:p>
      <w:pPr>
        <w:spacing w:after="0" w:line="225" w:lineRule="exact"/>
        <w:rPr>
          <w:rFonts w:ascii="Times New Roman" w:cs="Times New Roman" w:eastAsia="Times New Roman" w:hAnsi="Times New Roman"/>
          <w:sz w:val="18"/>
          <w:szCs w:val="18"/>
          <w:b w:val="1"/>
          <w:bCs w:val="1"/>
          <w:color w:val="auto"/>
        </w:rPr>
      </w:pPr>
    </w:p>
    <w:p>
      <w:pPr>
        <w:jc w:val="both"/>
        <w:ind w:left="4" w:hanging="4"/>
        <w:spacing w:after="0" w:line="266" w:lineRule="auto"/>
        <w:tabs>
          <w:tab w:leader="none" w:pos="27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Decisions Final. All decisions, interpretations, and other actions of the Plan Administrator shall be final, conclusive, and binding on all persons, including the Company, any Participant, any stockholder, and any Eligible Person. A majority of the members of the Plan Administrator may determine its actions.</w:t>
      </w:r>
    </w:p>
    <w:p>
      <w:pPr>
        <w:spacing w:after="0" w:line="175" w:lineRule="exact"/>
        <w:rPr>
          <w:rFonts w:ascii="Times New Roman" w:cs="Times New Roman" w:eastAsia="Times New Roman" w:hAnsi="Times New Roman"/>
          <w:sz w:val="18"/>
          <w:szCs w:val="18"/>
          <w:b w:val="1"/>
          <w:bCs w:val="1"/>
          <w:color w:val="auto"/>
        </w:rPr>
      </w:pPr>
    </w:p>
    <w:p>
      <w:pPr>
        <w:jc w:val="both"/>
        <w:ind w:left="4" w:hanging="4"/>
        <w:spacing w:after="0" w:line="258" w:lineRule="auto"/>
        <w:tabs>
          <w:tab w:leader="none" w:pos="296"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Indemnification. No member of the Board or the Committee, and no officer or employee of the Company acting on behalf of the Plan Administrator, shall be personally liable for any action, determination, or interpretation made in good faith with respect to the Plan or any Award. The Company shall, to the fullest extent permitted by law, indemnify and hold harmless each person made or threatened to be made a party to any civil or criminal action or proceeding by reason of the fact that such person, or any person for whom such person is a legal representative, is or was a member of the Board, a member of the Committee, or an officer or employee of the Company acting on behalf of the Plan Administrator.</w:t>
      </w:r>
    </w:p>
    <w:p>
      <w:pPr>
        <w:spacing w:after="0" w:line="183" w:lineRule="exact"/>
        <w:rPr>
          <w:rFonts w:ascii="Times New Roman" w:cs="Times New Roman" w:eastAsia="Times New Roman" w:hAnsi="Times New Roman"/>
          <w:sz w:val="18"/>
          <w:szCs w:val="18"/>
          <w:b w:val="1"/>
          <w:bCs w:val="1"/>
          <w:color w:val="auto"/>
        </w:rPr>
      </w:pPr>
    </w:p>
    <w:p>
      <w:pPr>
        <w:jc w:val="both"/>
        <w:ind w:left="4" w:hanging="4"/>
        <w:spacing w:after="0" w:line="261" w:lineRule="auto"/>
        <w:tabs>
          <w:tab w:leader="none" w:pos="27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Delegation. To the extent permitted by applicable law, the Plan Administrator may delegate to one or more officers of the Company the authority to grant Awards to Eligible Persons who are not subject to the reporting and other provisions of Section 16 of the Exchange Act; provided, that such delegation shall specify the maximum number of shares of Common Stock subject to Awards that such officer or officers may grant and shall be subject to such other terms and conditions as the Plan Administrator may impose.</w:t>
      </w:r>
    </w:p>
    <w:p>
      <w:pPr>
        <w:spacing w:after="0" w:line="176" w:lineRule="exact"/>
        <w:rPr>
          <w:sz w:val="20"/>
          <w:szCs w:val="20"/>
          <w:color w:val="auto"/>
        </w:rPr>
      </w:pPr>
    </w:p>
    <w:p>
      <w:pPr>
        <w:ind w:left="3024"/>
        <w:spacing w:after="0"/>
        <w:rPr>
          <w:sz w:val="20"/>
          <w:szCs w:val="20"/>
          <w:color w:val="auto"/>
        </w:rPr>
      </w:pPr>
      <w:r>
        <w:rPr>
          <w:rFonts w:ascii="Times New Roman" w:cs="Times New Roman" w:eastAsia="Times New Roman" w:hAnsi="Times New Roman"/>
          <w:sz w:val="18"/>
          <w:szCs w:val="18"/>
          <w:b w:val="1"/>
          <w:bCs w:val="1"/>
          <w:color w:val="auto"/>
        </w:rPr>
        <w:t>SECTION 4. SHARES SUBJECT TO THE PLAN</w:t>
      </w:r>
    </w:p>
    <w:p>
      <w:pPr>
        <w:spacing w:after="0" w:line="229" w:lineRule="exact"/>
        <w:rPr>
          <w:sz w:val="20"/>
          <w:szCs w:val="20"/>
          <w:color w:val="auto"/>
        </w:rPr>
      </w:pPr>
    </w:p>
    <w:p>
      <w:pPr>
        <w:jc w:val="both"/>
        <w:ind w:left="4" w:hanging="4"/>
        <w:spacing w:after="0" w:line="261" w:lineRule="auto"/>
        <w:tabs>
          <w:tab w:leader="none" w:pos="272"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Authorized Number of Shares. Subject to adjustment from time to time as provided in Section 14 and the automatic increase set forth in Section 4(c) below, the aggregate number of shares of Common Stock initially available for issuance under the Plan shall be One Million Three Hundred Ninety Thousand (1,390,000) shares (the “Initial Share Reserve”). Shares issued under the Plan shall be drawn from authorized and unissued shares or shares now held or subsequently acquired by the Company as treasury shares.</w:t>
      </w:r>
    </w:p>
    <w:p>
      <w:pPr>
        <w:spacing w:after="0" w:line="179"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 Recycling.</w:t>
      </w:r>
    </w:p>
    <w:p>
      <w:pPr>
        <w:spacing w:after="0" w:line="225" w:lineRule="exact"/>
        <w:rPr>
          <w:rFonts w:ascii="Times New Roman" w:cs="Times New Roman" w:eastAsia="Times New Roman" w:hAnsi="Times New Roman"/>
          <w:sz w:val="18"/>
          <w:szCs w:val="18"/>
          <w:b w:val="1"/>
          <w:bCs w:val="1"/>
          <w:color w:val="auto"/>
        </w:rPr>
      </w:pPr>
    </w:p>
    <w:p>
      <w:pPr>
        <w:jc w:val="both"/>
        <w:ind w:left="644" w:firstLine="4"/>
        <w:spacing w:after="0" w:line="261" w:lineRule="auto"/>
        <w:tabs>
          <w:tab w:leader="none" w:pos="859"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Shares of Common Stock covered by an Award shall not be counted as used unless and until they are actually issued and delivered to a Participant. If any Award lapses, expires, terminates, or is canceled prior to the issuance of shares thereunder, or if shares of Common Stock are issued under the Plan to a Participant and thereafter are forfeited to or otherwise reacquired by the Company, the shares subject to such Awards and the forfeited or reacquired shares shall again be available for issuance under the Plan.</w:t>
      </w:r>
    </w:p>
    <w:p>
      <w:pPr>
        <w:spacing w:after="0" w:line="396"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3" w:name="page34"/>
    <w:bookmarkEnd w:id="33"/>
    <w:p>
      <w:pPr>
        <w:jc w:val="both"/>
        <w:ind w:left="644" w:firstLine="4"/>
        <w:spacing w:after="0" w:line="261" w:lineRule="auto"/>
        <w:tabs>
          <w:tab w:leader="none" w:pos="909"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shares of Common Stock (A) tendered by a Participant or retained by the Company as full or partial payment to the Company for the purchase price of an Award or to satisfy tax withholding obligations in connection with an Award, or (B) covered by an Award that is settled in cash or in a manner such that some or all of the shares of Common Stock covered by the Award are not issued, shall be available for Awards under the Plan.</w:t>
      </w:r>
    </w:p>
    <w:p>
      <w:pPr>
        <w:spacing w:after="0" w:line="179" w:lineRule="exact"/>
        <w:rPr>
          <w:rFonts w:ascii="Times New Roman" w:cs="Times New Roman" w:eastAsia="Times New Roman" w:hAnsi="Times New Roman"/>
          <w:sz w:val="18"/>
          <w:szCs w:val="18"/>
          <w:b w:val="1"/>
          <w:bCs w:val="1"/>
          <w:color w:val="auto"/>
        </w:rPr>
      </w:pPr>
    </w:p>
    <w:p>
      <w:pPr>
        <w:jc w:val="both"/>
        <w:ind w:left="644" w:firstLine="4"/>
        <w:spacing w:after="0" w:line="266" w:lineRule="auto"/>
        <w:tabs>
          <w:tab w:leader="none" w:pos="972"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number of shares of Common Stock available for issuance under the Plan shall not be reduced to reflect any dividends or dividend equivalents that are reinvested into additional shares of Common Stock or credited as additional shares of Common Stock subject to or paid with respect to an Award.</w:t>
      </w:r>
    </w:p>
    <w:p>
      <w:pPr>
        <w:spacing w:after="0" w:line="175" w:lineRule="exact"/>
        <w:rPr>
          <w:rFonts w:ascii="Times New Roman" w:cs="Times New Roman" w:eastAsia="Times New Roman" w:hAnsi="Times New Roman"/>
          <w:sz w:val="18"/>
          <w:szCs w:val="18"/>
          <w:b w:val="1"/>
          <w:bCs w:val="1"/>
          <w:color w:val="auto"/>
        </w:rPr>
      </w:pPr>
    </w:p>
    <w:p>
      <w:pPr>
        <w:jc w:val="both"/>
        <w:ind w:left="644" w:firstLine="4"/>
        <w:spacing w:after="0" w:line="261" w:lineRule="auto"/>
        <w:tabs>
          <w:tab w:leader="none" w:pos="962"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Awards granted under the Plan upon the assumption of, or in substitution for, awards authorized or outstanding under a qualifying equity plan maintained by an entity with which the Company enters into a merger or similar corporate transaction (“Substitute Awards”) shall not reduce the shares available for grant under the Plan but shall count against the maximum number of shares that may be issued upon the exercise of Incentive Stock Options.</w:t>
      </w:r>
    </w:p>
    <w:p>
      <w:pPr>
        <w:spacing w:after="0" w:line="175" w:lineRule="exact"/>
        <w:rPr>
          <w:rFonts w:ascii="Times New Roman" w:cs="Times New Roman" w:eastAsia="Times New Roman" w:hAnsi="Times New Roman"/>
          <w:sz w:val="18"/>
          <w:szCs w:val="18"/>
          <w:b w:val="1"/>
          <w:bCs w:val="1"/>
          <w:color w:val="auto"/>
        </w:rPr>
      </w:pPr>
    </w:p>
    <w:p>
      <w:pPr>
        <w:jc w:val="both"/>
        <w:ind w:left="4" w:hanging="4"/>
        <w:spacing w:after="0" w:line="255" w:lineRule="auto"/>
        <w:tabs>
          <w:tab w:leader="none" w:pos="253"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Evergreen Provision; Automatic Annual Increase. </w:t>
      </w:r>
      <w:r>
        <w:rPr>
          <w:rFonts w:ascii="Times New Roman" w:cs="Times New Roman" w:eastAsia="Times New Roman" w:hAnsi="Times New Roman"/>
          <w:sz w:val="18"/>
          <w:szCs w:val="18"/>
          <w:color w:val="auto"/>
        </w:rPr>
        <w:t>The aggregate number of shares of Common Stock available for issuance under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automatically increase on January 1 of each year, for a period of ten (10) years, commencing on January 1, 2027 and ending on (and including) January 1, 2036 (each, an “Evergreen Date”), in an amount equal to four percent (4%) of the total number of shares of Common Stock outstanding on December 31 of the preceding calendar year (each, an “Annual Increase” and collectively, the “Evergreen Mechanism”). Notwithstanding the foregoing, the Board may act prior to the Evergreen Date of a given year to provide that there shall be no Annual Increase for such year or that the Annual Increase for such year shall be a lesser number of shares of Common Stock than would otherwise be provided pursuant to this Section 4(c). For the avoidance of doubt, up to the maximum number of shares of Common Stock added pursuant to this Section 4(c) may be issued pursuant to Incentive Stock Options.</w:t>
      </w:r>
    </w:p>
    <w:p>
      <w:pPr>
        <w:spacing w:after="0" w:line="188" w:lineRule="exact"/>
        <w:rPr>
          <w:rFonts w:ascii="Times New Roman" w:cs="Times New Roman" w:eastAsia="Times New Roman" w:hAnsi="Times New Roman"/>
          <w:sz w:val="18"/>
          <w:szCs w:val="18"/>
          <w:b w:val="1"/>
          <w:bCs w:val="1"/>
          <w:color w:val="auto"/>
        </w:rPr>
      </w:pPr>
    </w:p>
    <w:p>
      <w:pPr>
        <w:ind w:left="4" w:hanging="4"/>
        <w:spacing w:after="0" w:line="282" w:lineRule="auto"/>
        <w:tabs>
          <w:tab w:leader="none" w:pos="269"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Substitute Awards. The Plan Administrator may also, without limitation, have the authority to grant Awards as an alternative to, or as the form of payment for, grants or rights earned or due under other compensation plans or arrangements of the Company.</w:t>
      </w:r>
    </w:p>
    <w:p>
      <w:pPr>
        <w:spacing w:after="0" w:line="161" w:lineRule="exact"/>
        <w:rPr>
          <w:rFonts w:ascii="Times New Roman" w:cs="Times New Roman" w:eastAsia="Times New Roman" w:hAnsi="Times New Roman"/>
          <w:sz w:val="18"/>
          <w:szCs w:val="18"/>
          <w:b w:val="1"/>
          <w:bCs w:val="1"/>
          <w:color w:val="auto"/>
        </w:rPr>
      </w:pPr>
    </w:p>
    <w:p>
      <w:pPr>
        <w:jc w:val="both"/>
        <w:ind w:left="4" w:hanging="4"/>
        <w:spacing w:after="0" w:line="258" w:lineRule="auto"/>
        <w:tabs>
          <w:tab w:leader="none" w:pos="262"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Minimum Vesting. Notwithstanding any other provision of the Plan to the contrary, Awards granted under the Plan (other than cash-based Awards) shall vest no earlier than the first anniversary of the date of grant; provided, however, that up to five percent (5%) of the shares of Common Stock available for issuance under the Plan may be granted without regard to such minimum vesting requirement. Nothing in this Section 4(e) shall preclude the Plan Administrator from taking action, in its sole discretion, to accelerate the vesting of any Award in connection with a Participant’s death, Disability, retirement, or in connection with a Change in Control, or as otherwise provided herein.</w:t>
      </w:r>
    </w:p>
    <w:p>
      <w:pPr>
        <w:spacing w:after="0" w:line="179" w:lineRule="exact"/>
        <w:rPr>
          <w:sz w:val="20"/>
          <w:szCs w:val="20"/>
          <w:color w:val="auto"/>
        </w:rPr>
      </w:pPr>
    </w:p>
    <w:p>
      <w:pPr>
        <w:ind w:left="3884"/>
        <w:spacing w:after="0"/>
        <w:rPr>
          <w:sz w:val="20"/>
          <w:szCs w:val="20"/>
          <w:color w:val="auto"/>
        </w:rPr>
      </w:pPr>
      <w:r>
        <w:rPr>
          <w:rFonts w:ascii="Times New Roman" w:cs="Times New Roman" w:eastAsia="Times New Roman" w:hAnsi="Times New Roman"/>
          <w:sz w:val="18"/>
          <w:szCs w:val="18"/>
          <w:b w:val="1"/>
          <w:bCs w:val="1"/>
          <w:color w:val="auto"/>
        </w:rPr>
        <w:t>SECTION 5. ELIGIBILITY</w:t>
      </w:r>
    </w:p>
    <w:p>
      <w:pPr>
        <w:spacing w:after="0" w:line="229" w:lineRule="exact"/>
        <w:rPr>
          <w:sz w:val="20"/>
          <w:szCs w:val="20"/>
          <w:color w:val="auto"/>
        </w:rPr>
      </w:pPr>
    </w:p>
    <w:p>
      <w:pPr>
        <w:jc w:val="both"/>
        <w:ind w:left="4" w:hanging="4"/>
        <w:spacing w:after="0" w:line="266" w:lineRule="auto"/>
        <w:tabs>
          <w:tab w:leader="none" w:pos="259"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 An Award may be granted to any Eligible Person whom the Plan Administrator from time to time selects. The Plan Administrator’s determination of which Eligible Persons shall receive Awards, and the type, amount, and terms thereof, need not be uniform and may be made selectively among Eligible Persons, whether or not such persons are similarly situated.</w:t>
      </w:r>
    </w:p>
    <w:p>
      <w:pPr>
        <w:spacing w:after="0" w:line="175" w:lineRule="exact"/>
        <w:rPr>
          <w:rFonts w:ascii="Times New Roman" w:cs="Times New Roman" w:eastAsia="Times New Roman" w:hAnsi="Times New Roman"/>
          <w:sz w:val="18"/>
          <w:szCs w:val="18"/>
          <w:b w:val="1"/>
          <w:bCs w:val="1"/>
          <w:color w:val="auto"/>
        </w:rPr>
      </w:pPr>
    </w:p>
    <w:p>
      <w:pPr>
        <w:ind w:left="4" w:hanging="4"/>
        <w:spacing w:after="0" w:line="282" w:lineRule="auto"/>
        <w:tabs>
          <w:tab w:leader="none" w:pos="269"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Incentive Stock Options. Incentive Stock Options may be granted only to employees of the Company or a Subsidiary (within the meaning of Section 424(f) of the Code). Non-employee directors and consultants are not eligible to receive Incentive Stock Options.</w:t>
      </w:r>
    </w:p>
    <w:p>
      <w:pPr>
        <w:spacing w:after="0" w:line="161" w:lineRule="exact"/>
        <w:rPr>
          <w:rFonts w:ascii="Times New Roman" w:cs="Times New Roman" w:eastAsia="Times New Roman" w:hAnsi="Times New Roman"/>
          <w:sz w:val="18"/>
          <w:szCs w:val="18"/>
          <w:b w:val="1"/>
          <w:bCs w:val="1"/>
          <w:color w:val="auto"/>
        </w:rPr>
      </w:pPr>
    </w:p>
    <w:p>
      <w:pPr>
        <w:jc w:val="both"/>
        <w:ind w:left="4" w:hanging="4"/>
        <w:spacing w:after="0" w:line="266" w:lineRule="auto"/>
        <w:tabs>
          <w:tab w:leader="none" w:pos="248"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Non-U.S. Participants. The Plan Administrator may adopt sub-plans or establish special rules or procedures for the purpose of accommodating the laws and customs of, or achieving favorable tax treatment under the laws of, any jurisdiction other than the United States in which any Eligible Person may reside or provide services.</w:t>
      </w:r>
    </w:p>
    <w:p>
      <w:pPr>
        <w:spacing w:after="0" w:line="392"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4" w:name="page35"/>
    <w:bookmarkEnd w:id="34"/>
    <w:p>
      <w:pPr>
        <w:ind w:left="3704"/>
        <w:spacing w:after="0"/>
        <w:rPr>
          <w:sz w:val="20"/>
          <w:szCs w:val="20"/>
          <w:color w:val="auto"/>
        </w:rPr>
      </w:pPr>
      <w:r>
        <w:rPr>
          <w:rFonts w:ascii="Times New Roman" w:cs="Times New Roman" w:eastAsia="Times New Roman" w:hAnsi="Times New Roman"/>
          <w:sz w:val="18"/>
          <w:szCs w:val="18"/>
          <w:b w:val="1"/>
          <w:bCs w:val="1"/>
          <w:color w:val="auto"/>
        </w:rPr>
        <w:t>SECTION 6. STOCK OPTIONS</w:t>
      </w:r>
    </w:p>
    <w:p>
      <w:pPr>
        <w:spacing w:after="0" w:line="229" w:lineRule="exact"/>
        <w:rPr>
          <w:sz w:val="20"/>
          <w:szCs w:val="20"/>
          <w:color w:val="auto"/>
        </w:rPr>
      </w:pPr>
    </w:p>
    <w:p>
      <w:pPr>
        <w:jc w:val="both"/>
        <w:ind w:left="4" w:hanging="4"/>
        <w:spacing w:after="0" w:line="261" w:lineRule="auto"/>
        <w:tabs>
          <w:tab w:leader="none" w:pos="259"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Grant of Options. The Plan Administrator may grant Options to Eligible Persons and shall determine whether such Options shall be Incentive Stock Options or Nonqualified Stock Options. Each Option shall be evidenced by an Award Agreement that shall specify the exercise price, the term of the Option, the number of shares of Common Stock subject to the Option, the vesting schedule, and such other terms and conditions as the Plan Administrator shall determine, consistent with the Plan.</w:t>
      </w:r>
    </w:p>
    <w:p>
      <w:pPr>
        <w:spacing w:after="0" w:line="179" w:lineRule="exact"/>
        <w:rPr>
          <w:rFonts w:ascii="Times New Roman" w:cs="Times New Roman" w:eastAsia="Times New Roman" w:hAnsi="Times New Roman"/>
          <w:sz w:val="18"/>
          <w:szCs w:val="18"/>
          <w:b w:val="1"/>
          <w:bCs w:val="1"/>
          <w:color w:val="auto"/>
        </w:rPr>
      </w:pPr>
    </w:p>
    <w:p>
      <w:pPr>
        <w:jc w:val="both"/>
        <w:ind w:left="4" w:hanging="4"/>
        <w:spacing w:after="0" w:line="258" w:lineRule="auto"/>
        <w:tabs>
          <w:tab w:leader="none" w:pos="269"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Exercise Price. The exercise price per share of Common Stock purchasable under an Option shall be determined by the Plan Administrator at the time the Option is granted; provided, however, that such exercise price shall not be less than one hundred percent (100%) of the Fair Market Value of a share of Common Stock on the date of grant. In the case of an Incentive Stock Option granted to a Ten Percent Stockholder, the exercise price per share shall not be less than one hundred ten percent (110%) of the Fair Market Value of a share of Common Stock on the date of grant.</w:t>
      </w:r>
    </w:p>
    <w:p>
      <w:pPr>
        <w:spacing w:after="0" w:line="183" w:lineRule="exact"/>
        <w:rPr>
          <w:rFonts w:ascii="Times New Roman" w:cs="Times New Roman" w:eastAsia="Times New Roman" w:hAnsi="Times New Roman"/>
          <w:sz w:val="18"/>
          <w:szCs w:val="18"/>
          <w:b w:val="1"/>
          <w:bCs w:val="1"/>
          <w:color w:val="auto"/>
        </w:rPr>
      </w:pPr>
    </w:p>
    <w:p>
      <w:pPr>
        <w:jc w:val="both"/>
        <w:ind w:left="4" w:hanging="4"/>
        <w:spacing w:after="0" w:line="266" w:lineRule="auto"/>
        <w:tabs>
          <w:tab w:leader="none" w:pos="262"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Term of Options. The term of each Option shall be determined by the Plan Administrator and set forth in the Award Agreement; provided, however, that no Option shall be exercisable more than ten (10) years after the date of grant. In the case of an Incentive Stock Option granted to a Ten Percent Stockholder, the term shall not exceed five (5) years from the date of grant.</w:t>
      </w:r>
    </w:p>
    <w:p>
      <w:pPr>
        <w:spacing w:after="0" w:line="175" w:lineRule="exact"/>
        <w:rPr>
          <w:rFonts w:ascii="Times New Roman" w:cs="Times New Roman" w:eastAsia="Times New Roman" w:hAnsi="Times New Roman"/>
          <w:sz w:val="18"/>
          <w:szCs w:val="18"/>
          <w:b w:val="1"/>
          <w:bCs w:val="1"/>
          <w:color w:val="auto"/>
        </w:rPr>
      </w:pPr>
    </w:p>
    <w:p>
      <w:pPr>
        <w:jc w:val="both"/>
        <w:ind w:left="4" w:hanging="4"/>
        <w:spacing w:after="0" w:line="261" w:lineRule="auto"/>
        <w:tabs>
          <w:tab w:leader="none" w:pos="269"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Vesting and Exercisability. Options shall vest and become exercisable at such times and upon such terms and conditions as may be determined by the Plan Administrator and set forth in the Award Agreement. The Plan Administrator may provide for the acceleration of vesting and exercisability in the event of the Participant’s death, Disability, retirement, a Change in Control, or upon such other events as the Plan Administrator may determine.</w:t>
      </w:r>
    </w:p>
    <w:p>
      <w:pPr>
        <w:spacing w:after="0" w:line="179" w:lineRule="exact"/>
        <w:rPr>
          <w:rFonts w:ascii="Times New Roman" w:cs="Times New Roman" w:eastAsia="Times New Roman" w:hAnsi="Times New Roman"/>
          <w:sz w:val="18"/>
          <w:szCs w:val="18"/>
          <w:b w:val="1"/>
          <w:bCs w:val="1"/>
          <w:color w:val="auto"/>
        </w:rPr>
      </w:pPr>
    </w:p>
    <w:p>
      <w:pPr>
        <w:jc w:val="both"/>
        <w:ind w:left="4" w:hanging="4"/>
        <w:spacing w:after="0" w:line="256" w:lineRule="auto"/>
        <w:tabs>
          <w:tab w:leader="none" w:pos="262"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Method of Exercise. An Option shall be exercised by delivering written or electronic notice of exercise to the Company (or its designated agent) in a form approved by the Plan Administrator, specifying the number of shares of Common Stock to be purchased and accompanied by full payment of the exercise price. The exercise price may be paid in any manner approved by the Plan Administrator, which may include: (i) cash or check, (ii) delivery (including by attestation) of shares of Common Stock already owned by the Participant having a Fair Market Value on the date of exercise equal to the aggregate exercise price, (iii) through a broker-assisted “cashless exercise” arrangement, (iv) by net exercise, (v) by any other method approved by the Plan Administrator, or (vi) by any combination of the foregoing.</w:t>
      </w:r>
    </w:p>
    <w:p>
      <w:pPr>
        <w:spacing w:after="0" w:line="187" w:lineRule="exact"/>
        <w:rPr>
          <w:rFonts w:ascii="Times New Roman" w:cs="Times New Roman" w:eastAsia="Times New Roman" w:hAnsi="Times New Roman"/>
          <w:sz w:val="18"/>
          <w:szCs w:val="18"/>
          <w:b w:val="1"/>
          <w:bCs w:val="1"/>
          <w:color w:val="auto"/>
        </w:rPr>
      </w:pPr>
    </w:p>
    <w:p>
      <w:pPr>
        <w:ind w:left="4" w:hanging="4"/>
        <w:spacing w:after="0" w:line="282" w:lineRule="auto"/>
        <w:tabs>
          <w:tab w:leader="none" w:pos="229"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Termination of Service. The Award Agreement shall specify the effect of a Participant’s termination of service on the exercisability and term of the Option. Unless otherwise provided in the Award Agreement:</w:t>
      </w:r>
    </w:p>
    <w:p>
      <w:pPr>
        <w:spacing w:after="0" w:line="161" w:lineRule="exact"/>
        <w:rPr>
          <w:rFonts w:ascii="Times New Roman" w:cs="Times New Roman" w:eastAsia="Times New Roman" w:hAnsi="Times New Roman"/>
          <w:sz w:val="18"/>
          <w:szCs w:val="18"/>
          <w:b w:val="1"/>
          <w:bCs w:val="1"/>
          <w:color w:val="auto"/>
        </w:rPr>
      </w:pPr>
    </w:p>
    <w:p>
      <w:pPr>
        <w:ind w:left="864" w:hanging="216"/>
        <w:spacing w:after="0"/>
        <w:tabs>
          <w:tab w:leader="none" w:pos="864"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Participant’s service is terminated for Cause, all Options (whether or not then vested) shall terminate immediately.</w:t>
      </w:r>
    </w:p>
    <w:p>
      <w:pPr>
        <w:spacing w:after="0" w:line="225" w:lineRule="exact"/>
        <w:rPr>
          <w:rFonts w:ascii="Times New Roman" w:cs="Times New Roman" w:eastAsia="Times New Roman" w:hAnsi="Times New Roman"/>
          <w:sz w:val="18"/>
          <w:szCs w:val="18"/>
          <w:b w:val="1"/>
          <w:bCs w:val="1"/>
          <w:color w:val="auto"/>
        </w:rPr>
      </w:pPr>
    </w:p>
    <w:p>
      <w:pPr>
        <w:ind w:left="644" w:right="20" w:firstLine="4"/>
        <w:spacing w:after="0" w:line="282" w:lineRule="auto"/>
        <w:tabs>
          <w:tab w:leader="none" w:pos="922"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Participant’s service is terminated by reason of death or Disability, all vested Options shall remain exercisable for a period of twelve (12) months following such termination (but not beyond the original term of the Option).</w:t>
      </w:r>
    </w:p>
    <w:p>
      <w:pPr>
        <w:spacing w:after="0" w:line="161" w:lineRule="exact"/>
        <w:rPr>
          <w:rFonts w:ascii="Times New Roman" w:cs="Times New Roman" w:eastAsia="Times New Roman" w:hAnsi="Times New Roman"/>
          <w:sz w:val="18"/>
          <w:szCs w:val="18"/>
          <w:b w:val="1"/>
          <w:bCs w:val="1"/>
          <w:color w:val="auto"/>
        </w:rPr>
      </w:pPr>
    </w:p>
    <w:p>
      <w:pPr>
        <w:ind w:left="644" w:firstLine="4"/>
        <w:spacing w:after="0" w:line="282" w:lineRule="auto"/>
        <w:tabs>
          <w:tab w:leader="none" w:pos="972"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Participant’s service is terminated for any other reason, all vested Options shall remain exercisable for a period of ninety (90) days following such termination (but not beyond the original term of the Option).</w:t>
      </w:r>
    </w:p>
    <w:p>
      <w:pPr>
        <w:spacing w:after="0" w:line="161" w:lineRule="exact"/>
        <w:rPr>
          <w:rFonts w:ascii="Times New Roman" w:cs="Times New Roman" w:eastAsia="Times New Roman" w:hAnsi="Times New Roman"/>
          <w:sz w:val="18"/>
          <w:szCs w:val="18"/>
          <w:b w:val="1"/>
          <w:bCs w:val="1"/>
          <w:color w:val="auto"/>
        </w:rPr>
      </w:pPr>
    </w:p>
    <w:p>
      <w:pPr>
        <w:jc w:val="both"/>
        <w:ind w:left="4" w:hanging="4"/>
        <w:spacing w:after="0" w:line="256" w:lineRule="auto"/>
        <w:tabs>
          <w:tab w:leader="none" w:pos="272"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Incentive Stock Option Limitations. The aggregate Fair Market Value (determined as of the date of grant) of shares of Common Stock with respect to which Incentive Stock Options are exercisable for the first time by a Participant during any calendar year (under all plans of the Company and its Subsidiaries) shall not exceed One Hundred Thousand Dollars ($100,000). To the extent that such aggregate Fair Market Value exceeds $100,000, the Options or portions thereof that exceed such limit (according to the order in which they were granted) shall be treated as Nonqualified Stock Options. No Incentive Stock Option may be granted more than ten (10) years after the earlier of (i) the date the Plan is adopted by the Board or (ii) the Effective Date.</w:t>
      </w:r>
    </w:p>
    <w:p>
      <w:pPr>
        <w:spacing w:after="0" w:line="187" w:lineRule="exact"/>
        <w:rPr>
          <w:rFonts w:ascii="Times New Roman" w:cs="Times New Roman" w:eastAsia="Times New Roman" w:hAnsi="Times New Roman"/>
          <w:sz w:val="18"/>
          <w:szCs w:val="18"/>
          <w:b w:val="1"/>
          <w:bCs w:val="1"/>
          <w:color w:val="auto"/>
        </w:rPr>
      </w:pPr>
    </w:p>
    <w:p>
      <w:pPr>
        <w:jc w:val="both"/>
        <w:ind w:left="4" w:hanging="4"/>
        <w:spacing w:after="0" w:line="258" w:lineRule="auto"/>
        <w:tabs>
          <w:tab w:leader="none" w:pos="296"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Repricing. Notwithstanding any provision of the Plan to the contrary, without the approval of the Company’s stockholders, the Plan Administrator shall not (i) reduce the exercise price of any outstanding Option, (ii) cancel any outstanding Option in exchange for a new Option with a lower exercise price, a new Award, cash, or other consideration when the exercise price of such Option exceeds the Fair Market Value of the underlying Common Stock, or (iii) take any other action that would be treated as a repricing under the applicable listing rules of the NYSE American (or such other national securities exchange on which the Common Stock is then listed).</w:t>
      </w:r>
    </w:p>
    <w:p>
      <w:pPr>
        <w:spacing w:after="0" w:line="399"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35" w:name="page36"/>
    <w:bookmarkEnd w:id="35"/>
    <w:p>
      <w:pPr>
        <w:ind w:left="3064"/>
        <w:spacing w:after="0"/>
        <w:rPr>
          <w:sz w:val="20"/>
          <w:szCs w:val="20"/>
          <w:color w:val="auto"/>
        </w:rPr>
      </w:pPr>
      <w:r>
        <w:rPr>
          <w:rFonts w:ascii="Times New Roman" w:cs="Times New Roman" w:eastAsia="Times New Roman" w:hAnsi="Times New Roman"/>
          <w:sz w:val="18"/>
          <w:szCs w:val="18"/>
          <w:b w:val="1"/>
          <w:bCs w:val="1"/>
          <w:color w:val="auto"/>
        </w:rPr>
        <w:t>SECTION 7. STOCK APPRECIATION RIGHTS</w:t>
      </w:r>
    </w:p>
    <w:p>
      <w:pPr>
        <w:spacing w:after="0" w:line="229" w:lineRule="exact"/>
        <w:rPr>
          <w:sz w:val="20"/>
          <w:szCs w:val="20"/>
          <w:color w:val="auto"/>
        </w:rPr>
      </w:pPr>
    </w:p>
    <w:p>
      <w:pPr>
        <w:jc w:val="both"/>
        <w:ind w:left="4" w:hanging="4"/>
        <w:spacing w:after="0" w:line="266" w:lineRule="auto"/>
        <w:tabs>
          <w:tab w:leader="none" w:pos="272"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Grant of SARs. The Plan Administrator may grant Stock Appreciation Rights to Eligible Persons, either alone (“freestanding SARs”) or in tandem with Options (“tandem SARs”). Each SAR shall be evidenced by an Award Agreement specifying the base price, the term, the number of shares of Common Stock to which the SAR relates, and such other terms as the Plan Administrator shall determine.</w:t>
      </w:r>
    </w:p>
    <w:p>
      <w:pPr>
        <w:spacing w:after="0" w:line="175" w:lineRule="exact"/>
        <w:rPr>
          <w:rFonts w:ascii="Times New Roman" w:cs="Times New Roman" w:eastAsia="Times New Roman" w:hAnsi="Times New Roman"/>
          <w:sz w:val="18"/>
          <w:szCs w:val="18"/>
          <w:b w:val="1"/>
          <w:bCs w:val="1"/>
          <w:color w:val="auto"/>
        </w:rPr>
      </w:pPr>
    </w:p>
    <w:p>
      <w:pPr>
        <w:jc w:val="both"/>
        <w:ind w:left="4" w:hanging="4"/>
        <w:spacing w:after="0" w:line="266" w:lineRule="auto"/>
        <w:tabs>
          <w:tab w:leader="none" w:pos="269"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Base Price. The base price per share of Common Stock subject to a SAR shall not be less than one hundred percent (100%) of the Fair Market Value of a share of Common Stock on the date of grant. In the case of a tandem SAR, the base price shall equal the exercise price of the related Option.</w:t>
      </w:r>
    </w:p>
    <w:p>
      <w:pPr>
        <w:spacing w:after="0" w:line="175" w:lineRule="exact"/>
        <w:rPr>
          <w:rFonts w:ascii="Times New Roman" w:cs="Times New Roman" w:eastAsia="Times New Roman" w:hAnsi="Times New Roman"/>
          <w:sz w:val="18"/>
          <w:szCs w:val="18"/>
          <w:b w:val="1"/>
          <w:bCs w:val="1"/>
          <w:color w:val="auto"/>
        </w:rPr>
      </w:pPr>
    </w:p>
    <w:p>
      <w:pPr>
        <w:ind w:left="244" w:hanging="244"/>
        <w:spacing w:after="0"/>
        <w:tabs>
          <w:tab w:leader="none" w:pos="244"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Term. No SAR shall be exercisable more than ten (10) years after the date of grant.</w:t>
      </w:r>
    </w:p>
    <w:p>
      <w:pPr>
        <w:spacing w:after="0" w:line="225" w:lineRule="exact"/>
        <w:rPr>
          <w:rFonts w:ascii="Times New Roman" w:cs="Times New Roman" w:eastAsia="Times New Roman" w:hAnsi="Times New Roman"/>
          <w:sz w:val="18"/>
          <w:szCs w:val="18"/>
          <w:b w:val="1"/>
          <w:bCs w:val="1"/>
          <w:color w:val="auto"/>
        </w:rPr>
      </w:pPr>
    </w:p>
    <w:p>
      <w:pPr>
        <w:jc w:val="both"/>
        <w:ind w:left="4" w:hanging="4"/>
        <w:spacing w:after="0" w:line="261" w:lineRule="auto"/>
        <w:tabs>
          <w:tab w:leader="none" w:pos="269"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Exercise and Settlement. Upon exercise of a SAR, the Participant shall be entitled to receive an amount equal to the excess, if any, of the Fair Market Value of one share of Common Stock on the date of exercise over the base price, multiplied by the number of shares subject to the SAR being exercised. Such amount may be paid in cash, shares of Common Stock, or a combination thereof, as determined by the Plan Administrator and set forth in the Award Agreement.</w:t>
      </w:r>
    </w:p>
    <w:p>
      <w:pPr>
        <w:spacing w:after="0" w:line="179" w:lineRule="exact"/>
        <w:rPr>
          <w:rFonts w:ascii="Times New Roman" w:cs="Times New Roman" w:eastAsia="Times New Roman" w:hAnsi="Times New Roman"/>
          <w:sz w:val="18"/>
          <w:szCs w:val="18"/>
          <w:b w:val="1"/>
          <w:bCs w:val="1"/>
          <w:color w:val="auto"/>
        </w:rPr>
      </w:pPr>
    </w:p>
    <w:p>
      <w:pPr>
        <w:jc w:val="both"/>
        <w:ind w:left="4" w:hanging="4"/>
        <w:spacing w:after="0" w:line="266" w:lineRule="auto"/>
        <w:tabs>
          <w:tab w:leader="none" w:pos="262"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Tandem SARs. A tandem SAR may be exercised only when the related Option is exercisable and only with the surrender of the right to exercise the equivalent portion of the related Option. Upon exercise of a tandem SAR, the related Option shall be canceled to the extent of the number of shares of Common Stock with respect to which the SAR is exercised, and vice versa.</w:t>
      </w:r>
    </w:p>
    <w:p>
      <w:pPr>
        <w:spacing w:after="0" w:line="175" w:lineRule="exact"/>
        <w:rPr>
          <w:rFonts w:ascii="Times New Roman" w:cs="Times New Roman" w:eastAsia="Times New Roman" w:hAnsi="Times New Roman"/>
          <w:sz w:val="18"/>
          <w:szCs w:val="18"/>
          <w:b w:val="1"/>
          <w:bCs w:val="1"/>
          <w:color w:val="auto"/>
        </w:rPr>
      </w:pPr>
    </w:p>
    <w:p>
      <w:pPr>
        <w:ind w:left="224" w:hanging="224"/>
        <w:spacing w:after="0"/>
        <w:tabs>
          <w:tab w:leader="none" w:pos="224"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Repricing. The restrictions on repricing set forth in Section 6(h) shall apply equally to Stock Appreciation Rights.</w:t>
      </w:r>
    </w:p>
    <w:p>
      <w:pPr>
        <w:spacing w:after="0" w:line="221" w:lineRule="exact"/>
        <w:rPr>
          <w:sz w:val="20"/>
          <w:szCs w:val="20"/>
          <w:color w:val="auto"/>
        </w:rPr>
      </w:pPr>
    </w:p>
    <w:p>
      <w:pPr>
        <w:ind w:left="3524"/>
        <w:spacing w:after="0"/>
        <w:rPr>
          <w:sz w:val="20"/>
          <w:szCs w:val="20"/>
          <w:color w:val="auto"/>
        </w:rPr>
      </w:pPr>
      <w:r>
        <w:rPr>
          <w:rFonts w:ascii="Times New Roman" w:cs="Times New Roman" w:eastAsia="Times New Roman" w:hAnsi="Times New Roman"/>
          <w:sz w:val="18"/>
          <w:szCs w:val="18"/>
          <w:b w:val="1"/>
          <w:bCs w:val="1"/>
          <w:color w:val="auto"/>
        </w:rPr>
        <w:t>SECTION 8. RESTRICTED STOCK</w:t>
      </w:r>
    </w:p>
    <w:p>
      <w:pPr>
        <w:spacing w:after="0" w:line="229" w:lineRule="exact"/>
        <w:rPr>
          <w:sz w:val="20"/>
          <w:szCs w:val="20"/>
          <w:color w:val="auto"/>
        </w:rPr>
      </w:pPr>
    </w:p>
    <w:p>
      <w:pPr>
        <w:jc w:val="both"/>
        <w:ind w:left="4" w:hanging="4"/>
        <w:spacing w:after="0" w:line="266" w:lineRule="auto"/>
        <w:tabs>
          <w:tab w:leader="none" w:pos="259"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Grant of Restricted Stock. The Plan Administrator may grant shares of Restricted Stock to Eligible Persons. Each Restricted Stock Award shall be evidenced by an Award Agreement specifying the number of shares, the period of restriction, the conditions of vesting, and such other terms as the Plan Administrator shall determine.</w:t>
      </w:r>
    </w:p>
    <w:p>
      <w:pPr>
        <w:spacing w:after="0" w:line="175" w:lineRule="exact"/>
        <w:rPr>
          <w:rFonts w:ascii="Times New Roman" w:cs="Times New Roman" w:eastAsia="Times New Roman" w:hAnsi="Times New Roman"/>
          <w:sz w:val="18"/>
          <w:szCs w:val="18"/>
          <w:b w:val="1"/>
          <w:bCs w:val="1"/>
          <w:color w:val="auto"/>
        </w:rPr>
      </w:pPr>
    </w:p>
    <w:p>
      <w:pPr>
        <w:jc w:val="both"/>
        <w:ind w:left="4" w:hanging="4"/>
        <w:spacing w:after="0" w:line="261" w:lineRule="auto"/>
        <w:tabs>
          <w:tab w:leader="none" w:pos="296"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Restrictions. During the period of restriction, shares of Restricted Stock may not be sold, assigned, transferred, pledged, or otherwise encumbered, except as otherwise provided in the Plan or the Award Agreement. The Plan Administrator shall impose such restrictions as it may deem advisable, including, without limitation, restrictions based upon continued employment or service, the achievement of Performance Goals, or any combination thereof.</w:t>
      </w:r>
    </w:p>
    <w:p>
      <w:pPr>
        <w:spacing w:after="0" w:line="179" w:lineRule="exact"/>
        <w:rPr>
          <w:rFonts w:ascii="Times New Roman" w:cs="Times New Roman" w:eastAsia="Times New Roman" w:hAnsi="Times New Roman"/>
          <w:sz w:val="18"/>
          <w:szCs w:val="18"/>
          <w:b w:val="1"/>
          <w:bCs w:val="1"/>
          <w:color w:val="auto"/>
        </w:rPr>
      </w:pPr>
    </w:p>
    <w:p>
      <w:pPr>
        <w:jc w:val="both"/>
        <w:ind w:left="4" w:hanging="4"/>
        <w:spacing w:after="0" w:line="258" w:lineRule="auto"/>
        <w:tabs>
          <w:tab w:leader="none" w:pos="248"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Stockholder Rights. Unless otherwise determined by the Plan Administrator and set forth in the Award Agreement, a Participant holding shares of Restricted Stock shall have the rights of a stockholder of the Company, including the right to vote such shares and to receive dividends; provided, however, that any dividends paid with respect to unvested shares of Restricted Stock shall be accumulated and paid to the Participant only upon, and to the extent that, the underlying shares of Restricted Stock vest. Any accumulated dividends relating to shares of Restricted Stock that are forfeited shall also be forfeited.</w:t>
      </w:r>
    </w:p>
    <w:p>
      <w:pPr>
        <w:spacing w:after="0" w:line="183" w:lineRule="exact"/>
        <w:rPr>
          <w:rFonts w:ascii="Times New Roman" w:cs="Times New Roman" w:eastAsia="Times New Roman" w:hAnsi="Times New Roman"/>
          <w:sz w:val="18"/>
          <w:szCs w:val="18"/>
          <w:b w:val="1"/>
          <w:bCs w:val="1"/>
          <w:color w:val="auto"/>
        </w:rPr>
      </w:pPr>
    </w:p>
    <w:p>
      <w:pPr>
        <w:jc w:val="both"/>
        <w:ind w:left="4" w:hanging="4"/>
        <w:spacing w:after="0" w:line="266" w:lineRule="auto"/>
        <w:tabs>
          <w:tab w:leader="none" w:pos="269"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Lapse of Restrictions. Upon the vesting of Restricted Stock, the restrictions imposed under the Award Agreement shall lapse, and the shares shall become freely transferable (subject to applicable securities laws and Company policies). The Plan Administrator may provide for the acceleration of vesting upon such events as it shall determine.</w:t>
      </w:r>
    </w:p>
    <w:p>
      <w:pPr>
        <w:spacing w:after="0" w:line="175" w:lineRule="exact"/>
        <w:rPr>
          <w:rFonts w:ascii="Times New Roman" w:cs="Times New Roman" w:eastAsia="Times New Roman" w:hAnsi="Times New Roman"/>
          <w:sz w:val="18"/>
          <w:szCs w:val="18"/>
          <w:b w:val="1"/>
          <w:bCs w:val="1"/>
          <w:color w:val="auto"/>
        </w:rPr>
      </w:pPr>
    </w:p>
    <w:p>
      <w:pPr>
        <w:ind w:left="4" w:right="20" w:hanging="4"/>
        <w:spacing w:after="0" w:line="282" w:lineRule="auto"/>
        <w:tabs>
          <w:tab w:leader="none" w:pos="248"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Forfeiture. Except as otherwise provided in the Award Agreement, upon a Participant’s termination of service for any reason prior to the lapse of restrictions, all unvested shares of Restricted Stock shall be forfeited and returned to the Company.</w:t>
      </w:r>
    </w:p>
    <w:p>
      <w:pPr>
        <w:spacing w:after="0" w:line="378"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36" w:name="page37"/>
    <w:bookmarkEnd w:id="36"/>
    <w:p>
      <w:pPr>
        <w:ind w:left="3224"/>
        <w:spacing w:after="0"/>
        <w:rPr>
          <w:sz w:val="20"/>
          <w:szCs w:val="20"/>
          <w:color w:val="auto"/>
        </w:rPr>
      </w:pPr>
      <w:r>
        <w:rPr>
          <w:rFonts w:ascii="Times New Roman" w:cs="Times New Roman" w:eastAsia="Times New Roman" w:hAnsi="Times New Roman"/>
          <w:sz w:val="18"/>
          <w:szCs w:val="18"/>
          <w:b w:val="1"/>
          <w:bCs w:val="1"/>
          <w:color w:val="auto"/>
        </w:rPr>
        <w:t>SECTION 9. RESTRICTED STOCK UNITS</w:t>
      </w:r>
    </w:p>
    <w:p>
      <w:pPr>
        <w:spacing w:after="0" w:line="229" w:lineRule="exact"/>
        <w:rPr>
          <w:sz w:val="20"/>
          <w:szCs w:val="20"/>
          <w:color w:val="auto"/>
        </w:rPr>
      </w:pPr>
    </w:p>
    <w:p>
      <w:pPr>
        <w:jc w:val="both"/>
        <w:ind w:left="4" w:hanging="4"/>
        <w:spacing w:after="0" w:line="266" w:lineRule="auto"/>
        <w:tabs>
          <w:tab w:leader="none" w:pos="272"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Grant of RSUs. The Plan Administrator may grant Restricted Stock Units to Eligible Persons. Each RSU Award shall be evidenced by an Award Agreement specifying the number of RSUs, the vesting schedule, the form and time of settlement, and such other terms as the Plan Administrator shall determine.</w:t>
      </w:r>
    </w:p>
    <w:p>
      <w:pPr>
        <w:spacing w:after="0" w:line="175" w:lineRule="exact"/>
        <w:rPr>
          <w:rFonts w:ascii="Times New Roman" w:cs="Times New Roman" w:eastAsia="Times New Roman" w:hAnsi="Times New Roman"/>
          <w:sz w:val="18"/>
          <w:szCs w:val="18"/>
          <w:b w:val="1"/>
          <w:bCs w:val="1"/>
          <w:color w:val="auto"/>
        </w:rPr>
      </w:pPr>
    </w:p>
    <w:p>
      <w:pPr>
        <w:jc w:val="both"/>
        <w:ind w:left="4" w:hanging="4"/>
        <w:spacing w:after="0" w:line="266" w:lineRule="auto"/>
        <w:tabs>
          <w:tab w:leader="none" w:pos="269"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Vesting. RSUs shall vest at such times and upon such conditions as may be determined by the Plan Administrator and set forth in the Award Agreement, including, without limitation, conditions based on continued employment or service, the achievement of Performance Goals, or any combination thereof.</w:t>
      </w:r>
    </w:p>
    <w:p>
      <w:pPr>
        <w:spacing w:after="0" w:line="175" w:lineRule="exact"/>
        <w:rPr>
          <w:rFonts w:ascii="Times New Roman" w:cs="Times New Roman" w:eastAsia="Times New Roman" w:hAnsi="Times New Roman"/>
          <w:sz w:val="18"/>
          <w:szCs w:val="18"/>
          <w:b w:val="1"/>
          <w:bCs w:val="1"/>
          <w:color w:val="auto"/>
        </w:rPr>
      </w:pPr>
    </w:p>
    <w:p>
      <w:pPr>
        <w:jc w:val="both"/>
        <w:ind w:left="4" w:hanging="4"/>
        <w:spacing w:after="0" w:line="258" w:lineRule="auto"/>
        <w:tabs>
          <w:tab w:leader="none" w:pos="248"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Settlement. Upon vesting, each RSU shall entitle the Participant to receive one share of Common Stock or an amount of cash equal to the Fair Market Value of one share of Common Stock (or a combination thereof), as determined by the Plan Administrator and set forth in the Award Agreement. Settlement shall occur on or as soon as administratively practicable following the vesting date, but in no event later than the date required to satisfy the requirements of Section 409A, unless the RSU is designed to provide for a permissible deferral of compensation in compliance with Section 409A.</w:t>
      </w:r>
    </w:p>
    <w:p>
      <w:pPr>
        <w:spacing w:after="0" w:line="183" w:lineRule="exact"/>
        <w:rPr>
          <w:rFonts w:ascii="Times New Roman" w:cs="Times New Roman" w:eastAsia="Times New Roman" w:hAnsi="Times New Roman"/>
          <w:sz w:val="18"/>
          <w:szCs w:val="18"/>
          <w:b w:val="1"/>
          <w:bCs w:val="1"/>
          <w:color w:val="auto"/>
        </w:rPr>
      </w:pPr>
    </w:p>
    <w:p>
      <w:pPr>
        <w:jc w:val="both"/>
        <w:ind w:left="4" w:hanging="4"/>
        <w:spacing w:after="0" w:line="261" w:lineRule="auto"/>
        <w:tabs>
          <w:tab w:leader="none" w:pos="269"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Dividend Equivalents. The Plan Administrator may, in its sole discretion, provide that RSUs shall accrue dividend equivalents with respect to dividends paid on shares of Common Stock. Such dividend equivalents shall be accumulated and paid to the Participant only upon, and to the extent that, the underlying RSUs vest and are settled. Any accumulated dividend equivalents relating to RSUs that are forfeited shall also be forfeited.</w:t>
      </w:r>
    </w:p>
    <w:p>
      <w:pPr>
        <w:spacing w:after="0" w:line="179" w:lineRule="exact"/>
        <w:rPr>
          <w:rFonts w:ascii="Times New Roman" w:cs="Times New Roman" w:eastAsia="Times New Roman" w:hAnsi="Times New Roman"/>
          <w:sz w:val="18"/>
          <w:szCs w:val="18"/>
          <w:b w:val="1"/>
          <w:bCs w:val="1"/>
          <w:color w:val="auto"/>
        </w:rPr>
      </w:pPr>
    </w:p>
    <w:p>
      <w:pPr>
        <w:jc w:val="both"/>
        <w:ind w:left="4" w:hanging="4"/>
        <w:spacing w:after="0" w:line="266" w:lineRule="auto"/>
        <w:tabs>
          <w:tab w:leader="none" w:pos="248"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Stockholder Rights. A Participant holding RSUs shall have no rights as a stockholder of the Company (including no voting rights and no rights to receive dividends, other than dividend equivalents as provided in Section 9(d)) with respect to such RSUs until shares of Common Stock are issued in settlement thereof.</w:t>
      </w:r>
    </w:p>
    <w:p>
      <w:pPr>
        <w:spacing w:after="0" w:line="172" w:lineRule="exact"/>
        <w:rPr>
          <w:sz w:val="20"/>
          <w:szCs w:val="20"/>
          <w:color w:val="auto"/>
        </w:rPr>
      </w:pPr>
    </w:p>
    <w:p>
      <w:pPr>
        <w:ind w:left="3284"/>
        <w:spacing w:after="0"/>
        <w:rPr>
          <w:sz w:val="20"/>
          <w:szCs w:val="20"/>
          <w:color w:val="auto"/>
        </w:rPr>
      </w:pPr>
      <w:r>
        <w:rPr>
          <w:rFonts w:ascii="Times New Roman" w:cs="Times New Roman" w:eastAsia="Times New Roman" w:hAnsi="Times New Roman"/>
          <w:sz w:val="18"/>
          <w:szCs w:val="18"/>
          <w:b w:val="1"/>
          <w:bCs w:val="1"/>
          <w:color w:val="auto"/>
        </w:rPr>
        <w:t>SECTION 10. PERFORMANCE AWARDS</w:t>
      </w:r>
    </w:p>
    <w:p>
      <w:pPr>
        <w:spacing w:after="0" w:line="229" w:lineRule="exact"/>
        <w:rPr>
          <w:sz w:val="20"/>
          <w:szCs w:val="20"/>
          <w:color w:val="auto"/>
        </w:rPr>
      </w:pPr>
    </w:p>
    <w:p>
      <w:pPr>
        <w:jc w:val="both"/>
        <w:ind w:left="4" w:hanging="4"/>
        <w:spacing w:after="0" w:line="261" w:lineRule="auto"/>
        <w:tabs>
          <w:tab w:leader="none" w:pos="259"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Grant of Performance Awards. The Plan Administrator may grant Performance Awards to Eligible Persons, payable in cash, shares of Common Stock, or a combination thereof, upon the achievement of such Performance Goals during such Performance Periods as the Plan Administrator shall establish. Each Performance Award shall be evidenced by an Award Agreement specifying the Performance Goals, the Performance Period, the potential amount of the Award, and such other terms as the Plan Administrator shall determine.</w:t>
      </w:r>
    </w:p>
    <w:p>
      <w:pPr>
        <w:spacing w:after="0" w:line="179" w:lineRule="exact"/>
        <w:rPr>
          <w:rFonts w:ascii="Times New Roman" w:cs="Times New Roman" w:eastAsia="Times New Roman" w:hAnsi="Times New Roman"/>
          <w:sz w:val="18"/>
          <w:szCs w:val="18"/>
          <w:b w:val="1"/>
          <w:bCs w:val="1"/>
          <w:color w:val="auto"/>
        </w:rPr>
      </w:pPr>
    </w:p>
    <w:p>
      <w:pPr>
        <w:jc w:val="both"/>
        <w:ind w:left="4" w:hanging="4"/>
        <w:spacing w:after="0" w:line="254" w:lineRule="auto"/>
        <w:tabs>
          <w:tab w:leader="none" w:pos="269"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Performance Goals. Performance Goals may be based on one or more of the following criteria, applied to the Company as a whole or to any Subsidiary, division, business unit, or individual, and measured on an absolute basis, relative to a peer group, relative to an index, or on such other basis as the Plan Administrator shall determine: revenue; net revenue; earnings (including earnings before interest, taxes, depreciation, and amortization); net income; operating income; operating margin; earnings per share; cash flow; free cash flow; return on equity; return on assets; return on capital; return on investment; total stockholder return; stock price; market share; customer satisfaction metrics; clinical development milestones; regulatory milestones; product development milestones; strategic milestones; cost reduction or savings; working capital; debt reduction; or any other objective or subjective criteria determined by the Plan Administrator. The Plan Administrator may provide for equitable adjustments to Performance Goals in recognition of unusual or non-recurring items, changes in applicable accounting rules, or other factors as the Plan Administrator may determine.</w:t>
      </w:r>
    </w:p>
    <w:p>
      <w:pPr>
        <w:spacing w:after="0" w:line="200" w:lineRule="exact"/>
        <w:rPr>
          <w:sz w:val="20"/>
          <w:szCs w:val="20"/>
          <w:color w:val="auto"/>
        </w:rPr>
      </w:pPr>
    </w:p>
    <w:p>
      <w:pPr>
        <w:spacing w:after="0" w:line="204"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37" w:name="page38"/>
    <w:bookmarkEnd w:id="37"/>
    <w:p>
      <w:pPr>
        <w:ind w:left="660" w:right="20" w:hanging="4"/>
        <w:spacing w:after="0" w:line="282" w:lineRule="auto"/>
        <w:tabs>
          <w:tab w:leader="none" w:pos="904"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Certification. Prior to the settlement or payment of any Performance Award, the Plan Administrator shall certify in writing (which may include approved minutes of a meeting) the extent to which the applicable Performance Goals have been achieved.</w:t>
      </w:r>
    </w:p>
    <w:p>
      <w:pPr>
        <w:spacing w:after="0" w:line="161" w:lineRule="exact"/>
        <w:rPr>
          <w:rFonts w:ascii="Times New Roman" w:cs="Times New Roman" w:eastAsia="Times New Roman" w:hAnsi="Times New Roman"/>
          <w:sz w:val="18"/>
          <w:szCs w:val="18"/>
          <w:b w:val="1"/>
          <w:bCs w:val="1"/>
          <w:color w:val="auto"/>
        </w:rPr>
      </w:pPr>
    </w:p>
    <w:p>
      <w:pPr>
        <w:ind w:left="660" w:hanging="4"/>
        <w:spacing w:after="0" w:line="282" w:lineRule="auto"/>
        <w:tabs>
          <w:tab w:leader="none" w:pos="925"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Negative Discretion. Notwithstanding the achievement of any Performance Goal, the Plan Administrator shall retain the right to reduce (but not increase) the amount payable under a Performance Award.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11. OTHER STOCK-BASED AWARDS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Plan Administrator may grant other types of equity-based or equity-related Awards (including the grant or offer for sale of unrestricted shares of Common Stock, awards of phantom stock, and stock equivalent units) in such amounts and subject to such terms and conditions as the Plan Administrator shall determine. Such Awards may involve the transfer of actual shares of Common Stock to Participants or the payment of amounts in cash or otherwise based in whole or in part on the value of shares of Common Stock. Each Other Stock-Based Award shall be evidenced by an Award Agreement and shall be subject to such conditions not inconsistent with the Plan as may be reflected in the applicable Award Agreement.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12. CHANGE IN CONTROL</w:t>
      </w:r>
    </w:p>
    <w:p>
      <w:pPr>
        <w:spacing w:after="0" w:line="229" w:lineRule="exact"/>
        <w:rPr>
          <w:sz w:val="20"/>
          <w:szCs w:val="20"/>
          <w:color w:val="auto"/>
        </w:rPr>
      </w:pPr>
    </w:p>
    <w:p>
      <w:pPr>
        <w:ind w:left="920" w:hanging="264"/>
        <w:spacing w:after="0"/>
        <w:tabs>
          <w:tab w:leader="none" w:pos="9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Definition. For purposes of the Plan, a “Change in Control” shall mean the occurrence of any of the following events:</w:t>
      </w:r>
    </w:p>
    <w:p>
      <w:pPr>
        <w:spacing w:after="0" w:line="225" w:lineRule="exact"/>
        <w:rPr>
          <w:rFonts w:ascii="Times New Roman" w:cs="Times New Roman" w:eastAsia="Times New Roman" w:hAnsi="Times New Roman"/>
          <w:sz w:val="18"/>
          <w:szCs w:val="18"/>
          <w:b w:val="1"/>
          <w:bCs w:val="1"/>
          <w:color w:val="auto"/>
        </w:rPr>
      </w:pPr>
    </w:p>
    <w:p>
      <w:pPr>
        <w:jc w:val="both"/>
        <w:ind w:left="1300" w:firstLine="4"/>
        <w:spacing w:after="0" w:line="258" w:lineRule="auto"/>
        <w:tabs>
          <w:tab w:leader="none" w:pos="1515"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“person” (as such term is used in Sections 13(d) and 14(d) of the Exchange Act) becomes the “beneficial owner” (as defined in Rule 13d-3 under the Exchange Act), directly or indirectly, of securities of the Company representing more than fifty percent (50%) of the total voting power represented by the Company’s then-outstanding voting securities; provided, however, that any change in the percentage of voting power held by any one of the Company’s current directors or officers, or by the Company or a Company employee benefit plan, shall not constitute a Change in Control;</w:t>
      </w:r>
    </w:p>
    <w:p>
      <w:pPr>
        <w:spacing w:after="0" w:line="183" w:lineRule="exact"/>
        <w:rPr>
          <w:rFonts w:ascii="Times New Roman" w:cs="Times New Roman" w:eastAsia="Times New Roman" w:hAnsi="Times New Roman"/>
          <w:sz w:val="18"/>
          <w:szCs w:val="18"/>
          <w:b w:val="1"/>
          <w:bCs w:val="1"/>
          <w:color w:val="auto"/>
        </w:rPr>
      </w:pPr>
    </w:p>
    <w:p>
      <w:pPr>
        <w:jc w:val="both"/>
        <w:ind w:left="1300" w:firstLine="4"/>
        <w:spacing w:after="0" w:line="258" w:lineRule="auto"/>
        <w:tabs>
          <w:tab w:leader="none" w:pos="1565"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change in the composition of the Board occurring within a twenty-four (24) month period such that a majority of the members of the Board are not Continuing Directors. “Continuing Directors” means members of the Board who either (A) have been Board members continuously for a period of at least twenty-four (24) months, or (B) have been Board members for less than twenty-four (24) months and were elected or nominated for election as Board members by at least a majority of the Continuing Directors at the time of such election or nomination (other than an election or nomination resulting from an actual or threatened election contest or proxy solicitation);</w:t>
      </w:r>
    </w:p>
    <w:p>
      <w:pPr>
        <w:spacing w:after="0" w:line="183" w:lineRule="exact"/>
        <w:rPr>
          <w:rFonts w:ascii="Times New Roman" w:cs="Times New Roman" w:eastAsia="Times New Roman" w:hAnsi="Times New Roman"/>
          <w:sz w:val="18"/>
          <w:szCs w:val="18"/>
          <w:b w:val="1"/>
          <w:bCs w:val="1"/>
          <w:color w:val="auto"/>
        </w:rPr>
      </w:pPr>
    </w:p>
    <w:p>
      <w:pPr>
        <w:jc w:val="both"/>
        <w:ind w:left="1300" w:firstLine="4"/>
        <w:spacing w:after="0" w:line="258" w:lineRule="auto"/>
        <w:tabs>
          <w:tab w:leader="none" w:pos="1628"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consummation of a merger, consolidation, reorganization, or similar transaction involving the Company and any other entity, other than a transaction that results in the Company’s voting securities outstanding immediately prior thereto continuing to represent (either by remaining outstanding or by being converted into voting securities of the surviving entity or its parent) more than fifty percent (50%) of the total voting power represented by the voting securities of the Company or such surviving entity (or its parent) outstanding immediately after such transaction; or</w:t>
      </w:r>
    </w:p>
    <w:p>
      <w:pPr>
        <w:spacing w:after="0" w:line="183" w:lineRule="exact"/>
        <w:rPr>
          <w:rFonts w:ascii="Times New Roman" w:cs="Times New Roman" w:eastAsia="Times New Roman" w:hAnsi="Times New Roman"/>
          <w:sz w:val="18"/>
          <w:szCs w:val="18"/>
          <w:b w:val="1"/>
          <w:bCs w:val="1"/>
          <w:color w:val="auto"/>
        </w:rPr>
      </w:pPr>
    </w:p>
    <w:p>
      <w:pPr>
        <w:ind w:left="1300" w:firstLine="4"/>
        <w:spacing w:after="0" w:line="282" w:lineRule="auto"/>
        <w:tabs>
          <w:tab w:leader="none" w:pos="1605"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consummation of a sale, lease, exclusive license, or other disposition of all or substantially all of the consolidated assets of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ind w:left="660" w:right="20" w:hanging="4"/>
        <w:spacing w:after="0" w:line="282" w:lineRule="auto"/>
        <w:tabs>
          <w:tab w:leader="none" w:pos="952"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Treatment of Awards. Unless otherwise provided in an Award Agreement or any other written agreement between a Participant and the Company:</w:t>
      </w:r>
    </w:p>
    <w:p>
      <w:pPr>
        <w:spacing w:after="0" w:line="161" w:lineRule="exact"/>
        <w:rPr>
          <w:rFonts w:ascii="Times New Roman" w:cs="Times New Roman" w:eastAsia="Times New Roman" w:hAnsi="Times New Roman"/>
          <w:sz w:val="18"/>
          <w:szCs w:val="18"/>
          <w:b w:val="1"/>
          <w:bCs w:val="1"/>
          <w:color w:val="auto"/>
        </w:rPr>
      </w:pPr>
    </w:p>
    <w:p>
      <w:pPr>
        <w:jc w:val="both"/>
        <w:ind w:left="1300" w:firstLine="4"/>
        <w:spacing w:after="0" w:line="258" w:lineRule="auto"/>
        <w:tabs>
          <w:tab w:leader="none" w:pos="1515"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Change in Control, the Plan Administrator may, in its sole discretion, provide for one or more of the following: (A) assumption, continuation, or substitution of outstanding Awards by the surviving entity (or its parent); (B) full or partial acceleration of vesting of outstanding Awards; (C) cancellation of outstanding Awards in exchange for a payment equal to the intrinsic value of such Awards (which may be zero if the exercise or base price exceeds the consideration payable in the Change in Control transaction); or (D) any combination of the foregoing.</w:t>
      </w:r>
    </w:p>
    <w:p>
      <w:pPr>
        <w:spacing w:after="0" w:line="183" w:lineRule="exact"/>
        <w:rPr>
          <w:rFonts w:ascii="Times New Roman" w:cs="Times New Roman" w:eastAsia="Times New Roman" w:hAnsi="Times New Roman"/>
          <w:sz w:val="18"/>
          <w:szCs w:val="18"/>
          <w:b w:val="1"/>
          <w:bCs w:val="1"/>
          <w:color w:val="auto"/>
        </w:rPr>
      </w:pPr>
    </w:p>
    <w:p>
      <w:pPr>
        <w:jc w:val="both"/>
        <w:ind w:left="1300" w:firstLine="4"/>
        <w:spacing w:after="0" w:line="255" w:lineRule="auto"/>
        <w:tabs>
          <w:tab w:leader="none" w:pos="1565"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Double-Trigger Acceleration. Unless otherwise provided in the Award Agreement, in the event that Awards are assumed, continued, or substituted in connection with a Change in Control, the vesting and exercisability of such Awards shall not be accelerated solely as a result of the Change in Control. If, however, within twenty-four (24) months following the consummation of a Change in Control, a Participant’s service is terminated by the Company (or its successor) without Cause, or by the Participant for “Good Reason” (as defined in the Participant’s Award Agreement, employment agreement, or other applicable agreement), then all outstanding Awards held by such Participant that were assumed, continued, or substituted in connection with the Change in Control shall become fully vested and exercisable.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 NON-EMPLOYEE DIRECTOR AWARDS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Awards may be granted to non-employee directors of the Company at such times and in such amounts as the Plan Administrator shall determine, subject to the terms and conditions of the Plan. The Plan Administrator may provide for automatic grants to non-employee directors upon initial election or appointment to the Board, upon re-election, or on an annual basis. Non-employee directors shall be eligible to receive Nonqualified Stock Options, Stock Appreciation Rights, Restricted Stock, Restricted Stock Units, and Other Stock-Based Awards under the Plan, but shall not be eligible to receive Incentive Stock Options.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14. ADJUSTMENTS UPON CHANGES IN CAPITALIZATION</w:t>
      </w:r>
    </w:p>
    <w:p>
      <w:pPr>
        <w:spacing w:after="0" w:line="229" w:lineRule="exact"/>
        <w:rPr>
          <w:sz w:val="20"/>
          <w:szCs w:val="20"/>
          <w:color w:val="auto"/>
        </w:rPr>
      </w:pPr>
    </w:p>
    <w:p>
      <w:pPr>
        <w:jc w:val="both"/>
        <w:ind w:left="660" w:hanging="4"/>
        <w:spacing w:after="0" w:line="256" w:lineRule="auto"/>
        <w:tabs>
          <w:tab w:leader="none" w:pos="928"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Adjustments. In the event of any stock dividend, stock split, reverse stock split, combination of shares, reclassification, recapitalization, or other similar change in the capital structure of the Company, the Plan Administrator shall make appropriate and proportionate adjustments to: (i) the aggregate number and kind of shares of Common Stock available for issuance under the Plan (including the Initial Share Reserve and any shares added pursuant to the Evergreen Mechanism); (ii) the number and kind of shares subject to each outstanding Award; (iii) the exercise price, base price, or purchase price applicable to each outstanding Award; and (iv) any other terms of an Award that are affected by such event. Such adjustments shall be made in a manner consistent with the requirements of Sections 409A and 424 of the Code, as applicable.</w:t>
      </w:r>
    </w:p>
    <w:p>
      <w:pPr>
        <w:spacing w:after="0" w:line="187" w:lineRule="exact"/>
        <w:rPr>
          <w:rFonts w:ascii="Times New Roman" w:cs="Times New Roman" w:eastAsia="Times New Roman" w:hAnsi="Times New Roman"/>
          <w:sz w:val="18"/>
          <w:szCs w:val="18"/>
          <w:b w:val="1"/>
          <w:bCs w:val="1"/>
          <w:color w:val="auto"/>
        </w:rPr>
      </w:pPr>
    </w:p>
    <w:p>
      <w:pPr>
        <w:jc w:val="both"/>
        <w:ind w:left="660" w:hanging="4"/>
        <w:spacing w:after="0" w:line="258" w:lineRule="auto"/>
        <w:tabs>
          <w:tab w:leader="none" w:pos="925"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Corporate Transactions. In the event of a merger, consolidation, acquisition of property or stock, separation, reorganization, or liquidation, the Plan Administrator shall make such adjustments, and take such other actions, as it deems appropriate with respect to outstanding Awards, including, without limitation: (i) the assumption, continuation, or substitution of Awards; (ii) the acceleration of vesting; (iii) the cancellation of Awards in exchange for cash, securities, or other property; or (iv) such other actions as the Plan Administrator deems appropriate to prevent dilution or enlargement of the benefits intended to be made available under the Plan.</w:t>
      </w:r>
    </w:p>
    <w:p>
      <w:pPr>
        <w:spacing w:after="0" w:line="183" w:lineRule="exact"/>
        <w:rPr>
          <w:rFonts w:ascii="Times New Roman" w:cs="Times New Roman" w:eastAsia="Times New Roman" w:hAnsi="Times New Roman"/>
          <w:sz w:val="18"/>
          <w:szCs w:val="18"/>
          <w:b w:val="1"/>
          <w:bCs w:val="1"/>
          <w:color w:val="auto"/>
        </w:rPr>
      </w:pPr>
    </w:p>
    <w:p>
      <w:pPr>
        <w:ind w:left="660" w:hanging="4"/>
        <w:spacing w:after="0" w:line="282" w:lineRule="auto"/>
        <w:tabs>
          <w:tab w:leader="none" w:pos="918"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Fractional Shares. No fractional shares of Common Stock shall be issued pursuant to any adjustment under this Section 14. Any fractional share resulting from an adjustment shall be rounded down to the nearest whole share, and the exercise or base price shall be adjusted accordingly.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15. TAX WITHHOLDING</w:t>
      </w:r>
    </w:p>
    <w:p>
      <w:pPr>
        <w:spacing w:after="0" w:line="229" w:lineRule="exact"/>
        <w:rPr>
          <w:sz w:val="20"/>
          <w:szCs w:val="20"/>
          <w:color w:val="auto"/>
        </w:rPr>
      </w:pPr>
    </w:p>
    <w:p>
      <w:pPr>
        <w:jc w:val="both"/>
        <w:ind w:left="660" w:hanging="4"/>
        <w:spacing w:after="0" w:line="266" w:lineRule="auto"/>
        <w:tabs>
          <w:tab w:leader="none" w:pos="928"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 The Company shall have the right and is hereby authorized to withhold from any amounts payable to a Participant, or to require a Participant to remit to the Company, an amount sufficient to satisfy all applicable federal, state, local, and foreign tax withholding requirements (including the Participant’s FICA obligations) arising in connection with the grant, vesting, exercise, or settlement of an Award.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left="4" w:hanging="4"/>
        <w:spacing w:after="0" w:line="256" w:lineRule="auto"/>
        <w:tabs>
          <w:tab w:leader="none" w:pos="269"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Methods of Withholding. The Plan Administrator may, in its sole discretion, permit a Participant to satisfy any tax withholding obligations by one or more of the following methods: (i) payment in cash or check; (ii) withholding of shares of Common Stock from the Award having a Fair Market Value on the date of withholding equal to the amount required to be withheld (up to the maximum statutory withholding rate); (iii) delivery of previously acquired shares of Common Stock; (iv) through a broker-assisted cashless exercise or sale arrangement; or (v) any other method approved by the Plan Administrator. The Plan Administrator shall determine the Fair Market Value of shares withheld for tax purposes as of the date that the taxes are required to be withheld.</w:t>
      </w:r>
    </w:p>
    <w:p>
      <w:pPr>
        <w:spacing w:after="0" w:line="183" w:lineRule="exact"/>
        <w:rPr>
          <w:sz w:val="20"/>
          <w:szCs w:val="20"/>
          <w:color w:val="auto"/>
        </w:rPr>
      </w:pPr>
    </w:p>
    <w:p>
      <w:pPr>
        <w:ind w:left="3384"/>
        <w:spacing w:after="0"/>
        <w:rPr>
          <w:sz w:val="20"/>
          <w:szCs w:val="20"/>
          <w:color w:val="auto"/>
        </w:rPr>
      </w:pPr>
      <w:r>
        <w:rPr>
          <w:rFonts w:ascii="Times New Roman" w:cs="Times New Roman" w:eastAsia="Times New Roman" w:hAnsi="Times New Roman"/>
          <w:sz w:val="18"/>
          <w:szCs w:val="18"/>
          <w:b w:val="1"/>
          <w:bCs w:val="1"/>
          <w:color w:val="auto"/>
        </w:rPr>
        <w:t>SECTION 16. GENERAL PROVISIONS</w:t>
      </w:r>
    </w:p>
    <w:p>
      <w:pPr>
        <w:spacing w:after="0" w:line="229" w:lineRule="exact"/>
        <w:rPr>
          <w:sz w:val="20"/>
          <w:szCs w:val="20"/>
          <w:color w:val="auto"/>
        </w:rPr>
      </w:pPr>
    </w:p>
    <w:p>
      <w:pPr>
        <w:jc w:val="both"/>
        <w:ind w:left="4" w:hanging="4"/>
        <w:spacing w:after="0" w:line="266" w:lineRule="auto"/>
        <w:tabs>
          <w:tab w:leader="none" w:pos="259"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Right to Employment or Service. Nothing in the Plan or in any Award Agreement shall confer upon any Participant the right to continue in the employ or service of the Company or any Subsidiary, or shall interfere with or restrict in any way the right of the Company or a Subsidiary to terminate a Participant’s employment or service at any time for any reason, with or without Cause.</w:t>
      </w:r>
    </w:p>
    <w:p>
      <w:pPr>
        <w:spacing w:after="0" w:line="175" w:lineRule="exact"/>
        <w:rPr>
          <w:rFonts w:ascii="Times New Roman" w:cs="Times New Roman" w:eastAsia="Times New Roman" w:hAnsi="Times New Roman"/>
          <w:sz w:val="18"/>
          <w:szCs w:val="18"/>
          <w:b w:val="1"/>
          <w:bCs w:val="1"/>
          <w:color w:val="auto"/>
        </w:rPr>
      </w:pPr>
    </w:p>
    <w:p>
      <w:pPr>
        <w:jc w:val="both"/>
        <w:ind w:left="4" w:hanging="4"/>
        <w:spacing w:after="0" w:line="266" w:lineRule="auto"/>
        <w:tabs>
          <w:tab w:leader="none" w:pos="296"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Rights as Stockholder. Except as otherwise provided in the Plan or an Award Agreement, no Participant shall have any rights as a stockholder of the Company with respect to shares of Common Stock subject to an Award until such shares are actually issued and delivered to the Participant.</w:t>
      </w:r>
    </w:p>
    <w:p>
      <w:pPr>
        <w:spacing w:after="0" w:line="175" w:lineRule="exact"/>
        <w:rPr>
          <w:rFonts w:ascii="Times New Roman" w:cs="Times New Roman" w:eastAsia="Times New Roman" w:hAnsi="Times New Roman"/>
          <w:sz w:val="18"/>
          <w:szCs w:val="18"/>
          <w:b w:val="1"/>
          <w:bCs w:val="1"/>
          <w:color w:val="auto"/>
        </w:rPr>
      </w:pPr>
    </w:p>
    <w:p>
      <w:pPr>
        <w:jc w:val="both"/>
        <w:ind w:left="4" w:hanging="4"/>
        <w:spacing w:after="0" w:line="255" w:lineRule="auto"/>
        <w:tabs>
          <w:tab w:leader="none" w:pos="27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Non-Transferability. Unless otherwise determined by the Plan Administrator and set forth in the Award Agreement, no Award or interest therein may be sold, assigned, pledged, hypothecated, transferred, or disposed of in any manner other than by will or by the laws of descent and distribution, and any attempted sale, assignment, pledge, hypothecation, transfer, or disposition shall be void and of no effect. During the lifetime of a Participant, an Award shall be exercisable only by the Participant or, in the event of the Participant’s legal incapacity, by the Participant’s guardian or legal representative. Notwithstanding the foregoing, the Plan Administrator may, in its sole discretion, permit the transfer of a Nonqualified Stock Option to a Participant’s family members, family trusts, or family partnerships or limited liability companies, subject to such conditions as the Plan Administrator may impose.</w:t>
      </w:r>
    </w:p>
    <w:p>
      <w:pPr>
        <w:spacing w:after="0" w:line="188" w:lineRule="exact"/>
        <w:rPr>
          <w:rFonts w:ascii="Times New Roman" w:cs="Times New Roman" w:eastAsia="Times New Roman" w:hAnsi="Times New Roman"/>
          <w:sz w:val="18"/>
          <w:szCs w:val="18"/>
          <w:b w:val="1"/>
          <w:bCs w:val="1"/>
          <w:color w:val="auto"/>
        </w:rPr>
      </w:pPr>
    </w:p>
    <w:p>
      <w:pPr>
        <w:jc w:val="both"/>
        <w:ind w:left="4" w:hanging="4"/>
        <w:spacing w:after="0" w:line="261" w:lineRule="auto"/>
        <w:tabs>
          <w:tab w:leader="none" w:pos="282"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Compliance with Laws. The Plan, Awards, and the issuance and delivery of shares of Common Stock under the Plan shall be subject to compliance with all applicable federal, state, local, and foreign laws, rules, and regulations (including, without limitation, applicable securities laws) and to such approvals by any listing, regulatory, or governmental authority as may, in the opinion of counsel for the Company, be necessary or advisable in connection therewith.</w:t>
      </w:r>
    </w:p>
    <w:p>
      <w:pPr>
        <w:spacing w:after="0" w:line="179" w:lineRule="exact"/>
        <w:rPr>
          <w:rFonts w:ascii="Times New Roman" w:cs="Times New Roman" w:eastAsia="Times New Roman" w:hAnsi="Times New Roman"/>
          <w:sz w:val="18"/>
          <w:szCs w:val="18"/>
          <w:b w:val="1"/>
          <w:bCs w:val="1"/>
          <w:color w:val="auto"/>
        </w:rPr>
      </w:pPr>
    </w:p>
    <w:p>
      <w:pPr>
        <w:jc w:val="both"/>
        <w:ind w:left="4" w:hanging="4"/>
        <w:spacing w:after="0" w:line="261" w:lineRule="auto"/>
        <w:tabs>
          <w:tab w:leader="none" w:pos="262"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Securities Law Restrictions. The Company shall not be obligated to issue or deliver any shares of Common Stock under the Plan unless (i) such shares have been registered under the Securities Act of 1933, as amended, or an exemption from registration is available, and (ii) such issuance and delivery comply with all applicable requirements of the NYSE American (or such other national securities exchange on which the Common Stock is then listed).</w:t>
      </w:r>
    </w:p>
    <w:p>
      <w:pPr>
        <w:spacing w:after="0" w:line="179" w:lineRule="exact"/>
        <w:rPr>
          <w:rFonts w:ascii="Times New Roman" w:cs="Times New Roman" w:eastAsia="Times New Roman" w:hAnsi="Times New Roman"/>
          <w:sz w:val="18"/>
          <w:szCs w:val="18"/>
          <w:b w:val="1"/>
          <w:bCs w:val="1"/>
          <w:color w:val="auto"/>
        </w:rPr>
      </w:pPr>
    </w:p>
    <w:p>
      <w:pPr>
        <w:jc w:val="both"/>
        <w:ind w:left="4" w:hanging="4"/>
        <w:spacing w:after="0" w:line="266" w:lineRule="auto"/>
        <w:tabs>
          <w:tab w:leader="none" w:pos="256"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Legends. The Plan Administrator may require that certificates representing shares issued under the Plan bear such legends as the Plan Administrator deems necessary or appropriate to reflect any restrictions on transfer or other limitations imposed under the Plan, the Award Agreement, or applicable law.</w:t>
      </w:r>
    </w:p>
    <w:p>
      <w:pPr>
        <w:spacing w:after="0" w:line="175" w:lineRule="exact"/>
        <w:rPr>
          <w:rFonts w:ascii="Times New Roman" w:cs="Times New Roman" w:eastAsia="Times New Roman" w:hAnsi="Times New Roman"/>
          <w:sz w:val="18"/>
          <w:szCs w:val="18"/>
          <w:b w:val="1"/>
          <w:bCs w:val="1"/>
          <w:color w:val="auto"/>
        </w:rPr>
      </w:pPr>
    </w:p>
    <w:p>
      <w:pPr>
        <w:ind w:left="4" w:right="20" w:hanging="4"/>
        <w:spacing w:after="0" w:line="282" w:lineRule="auto"/>
        <w:tabs>
          <w:tab w:leader="none" w:pos="259"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Unfunded Plan. The Plan shall be unfunded. Neither the Company nor the Board shall be required to establish any special or separate fund or to segregate any assets to assure the performance of its obligations under the Plan.</w:t>
      </w:r>
    </w:p>
    <w:p>
      <w:pPr>
        <w:spacing w:after="0" w:line="161" w:lineRule="exact"/>
        <w:rPr>
          <w:rFonts w:ascii="Times New Roman" w:cs="Times New Roman" w:eastAsia="Times New Roman" w:hAnsi="Times New Roman"/>
          <w:sz w:val="18"/>
          <w:szCs w:val="18"/>
          <w:b w:val="1"/>
          <w:bCs w:val="1"/>
          <w:color w:val="auto"/>
        </w:rPr>
      </w:pPr>
    </w:p>
    <w:p>
      <w:pPr>
        <w:jc w:val="both"/>
        <w:ind w:left="4" w:hanging="4"/>
        <w:spacing w:after="0" w:line="266" w:lineRule="auto"/>
        <w:tabs>
          <w:tab w:leader="none" w:pos="269"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Guarantee of Tax Consequences. Neither the Company, the Board, the Committee, the Plan Administrator, nor any officer or employee of the Company guarantees to any Participant or any other person any particular tax consequences as a result of the grant, vesting, exercise, or settlement of any Award. Each Participant shall be solely responsible for all applicable taxes arising in connection with any Award.</w:t>
      </w:r>
    </w:p>
    <w:p>
      <w:pPr>
        <w:spacing w:after="0" w:line="392"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40" w:name="page41"/>
    <w:bookmarkEnd w:id="40"/>
    <w:p>
      <w:pPr>
        <w:jc w:val="both"/>
        <w:ind w:left="4" w:hanging="4"/>
        <w:spacing w:after="0" w:line="266" w:lineRule="auto"/>
        <w:tabs>
          <w:tab w:leader="none" w:pos="219"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Successors. 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75" w:lineRule="exact"/>
        <w:rPr>
          <w:rFonts w:ascii="Times New Roman" w:cs="Times New Roman" w:eastAsia="Times New Roman" w:hAnsi="Times New Roman"/>
          <w:sz w:val="18"/>
          <w:szCs w:val="18"/>
          <w:b w:val="1"/>
          <w:bCs w:val="1"/>
          <w:color w:val="auto"/>
        </w:rPr>
      </w:pPr>
    </w:p>
    <w:p>
      <w:pPr>
        <w:jc w:val="both"/>
        <w:ind w:left="4" w:hanging="4"/>
        <w:spacing w:after="0" w:line="266" w:lineRule="auto"/>
        <w:tabs>
          <w:tab w:leader="none" w:pos="242"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Conditions to Issuance. The Plan Administrator may require, as a condition to the exercise of any Award or the issuance of any shares of Common Stock under the Plan, that the Participant execute and deliver such documents and agreements and provide such representations and warranties as the Plan Administrator may determine to be necessary or advisable.</w:t>
      </w:r>
    </w:p>
    <w:p>
      <w:pPr>
        <w:spacing w:after="0" w:line="172" w:lineRule="exact"/>
        <w:rPr>
          <w:sz w:val="20"/>
          <w:szCs w:val="20"/>
          <w:color w:val="auto"/>
        </w:rPr>
      </w:pPr>
    </w:p>
    <w:p>
      <w:pPr>
        <w:ind w:left="2984"/>
        <w:spacing w:after="0"/>
        <w:rPr>
          <w:sz w:val="20"/>
          <w:szCs w:val="20"/>
          <w:color w:val="auto"/>
        </w:rPr>
      </w:pPr>
      <w:r>
        <w:rPr>
          <w:rFonts w:ascii="Times New Roman" w:cs="Times New Roman" w:eastAsia="Times New Roman" w:hAnsi="Times New Roman"/>
          <w:sz w:val="18"/>
          <w:szCs w:val="18"/>
          <w:b w:val="1"/>
          <w:bCs w:val="1"/>
          <w:color w:val="auto"/>
        </w:rPr>
        <w:t>SECTION 17. CLAWBACK AND RECOUPMENT</w:t>
      </w:r>
    </w:p>
    <w:p>
      <w:pPr>
        <w:spacing w:after="0" w:line="229" w:lineRule="exact"/>
        <w:rPr>
          <w:sz w:val="20"/>
          <w:szCs w:val="20"/>
          <w:color w:val="auto"/>
        </w:rPr>
      </w:pPr>
    </w:p>
    <w:p>
      <w:pPr>
        <w:jc w:val="both"/>
        <w:ind w:left="4" w:hanging="4"/>
        <w:spacing w:after="0" w:line="256" w:lineRule="auto"/>
        <w:tabs>
          <w:tab w:leader="none" w:pos="259"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 Clawback. All Awards under the Plan shall be subject to any clawback or recoupment policy that the Company may adopt from time to time, including, without limitation, any policy adopted to comply with the requirements of the Dodd-Frank Wall Street Reform and Consumer Protection Act of 2010 and the rules and regulations of the SEC promulgated thereunder (including Rule 10D-1 under the Exchange Act), and the applicable listing rules of the NYSE American (or such other national securities exchange on which the Common Stock is then listed). By accepting an Award under the Plan, each Participant agrees to be bound by any such clawback or recoupment policy, as it may be in effect from time to time.</w:t>
      </w:r>
    </w:p>
    <w:p>
      <w:pPr>
        <w:spacing w:after="0" w:line="187" w:lineRule="exact"/>
        <w:rPr>
          <w:rFonts w:ascii="Times New Roman" w:cs="Times New Roman" w:eastAsia="Times New Roman" w:hAnsi="Times New Roman"/>
          <w:sz w:val="18"/>
          <w:szCs w:val="18"/>
          <w:b w:val="1"/>
          <w:bCs w:val="1"/>
          <w:color w:val="auto"/>
        </w:rPr>
      </w:pPr>
    </w:p>
    <w:p>
      <w:pPr>
        <w:jc w:val="both"/>
        <w:ind w:left="4" w:hanging="4"/>
        <w:spacing w:after="0" w:line="261" w:lineRule="auto"/>
        <w:tabs>
          <w:tab w:leader="none" w:pos="269"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Forfeiture for Cause. If a Participant’s service with the Company or a Subsidiary is terminated for Cause, the Plan Administrator may, in its sole discretion, require the Participant to (i) forfeit any outstanding Awards (whether or not vested), and (ii) return to the Company any shares of Common Stock received pursuant to any Award, or repay to the Company any gains realized upon the exercise or settlement of any Award, in each case during the period commencing twelve (12) months prior to such termination.</w:t>
      </w:r>
    </w:p>
    <w:p>
      <w:pPr>
        <w:spacing w:after="0" w:line="176" w:lineRule="exact"/>
        <w:rPr>
          <w:sz w:val="20"/>
          <w:szCs w:val="20"/>
          <w:color w:val="auto"/>
        </w:rPr>
      </w:pPr>
    </w:p>
    <w:p>
      <w:pPr>
        <w:ind w:left="2664"/>
        <w:spacing w:after="0"/>
        <w:rPr>
          <w:sz w:val="20"/>
          <w:szCs w:val="20"/>
          <w:color w:val="auto"/>
        </w:rPr>
      </w:pPr>
      <w:r>
        <w:rPr>
          <w:rFonts w:ascii="Times New Roman" w:cs="Times New Roman" w:eastAsia="Times New Roman" w:hAnsi="Times New Roman"/>
          <w:sz w:val="18"/>
          <w:szCs w:val="18"/>
          <w:b w:val="1"/>
          <w:bCs w:val="1"/>
          <w:color w:val="auto"/>
        </w:rPr>
        <w:t>SECTION 18. TERM AND AMENDMENT OF THE PLAN</w:t>
      </w:r>
    </w:p>
    <w:p>
      <w:pPr>
        <w:spacing w:after="0" w:line="229" w:lineRule="exact"/>
        <w:rPr>
          <w:sz w:val="20"/>
          <w:szCs w:val="20"/>
          <w:color w:val="auto"/>
        </w:rPr>
      </w:pPr>
    </w:p>
    <w:p>
      <w:pPr>
        <w:jc w:val="both"/>
        <w:ind w:left="4" w:hanging="4"/>
        <w:spacing w:after="0" w:line="266" w:lineRule="auto"/>
        <w:tabs>
          <w:tab w:leader="none" w:pos="272"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Term. The Plan shall become effective on the Effective Date and shall terminate on the tenth (10th) anniversary of the Effective Date (i.e., April 10, 2036), unless sooner terminated by the Board. No Award shall be granted under the Plan after the termination of the Plan, but Awards previously granted shall remain outstanding in accordance with their terms.</w:t>
      </w:r>
    </w:p>
    <w:p>
      <w:pPr>
        <w:spacing w:after="0" w:line="175" w:lineRule="exact"/>
        <w:rPr>
          <w:rFonts w:ascii="Times New Roman" w:cs="Times New Roman" w:eastAsia="Times New Roman" w:hAnsi="Times New Roman"/>
          <w:sz w:val="18"/>
          <w:szCs w:val="18"/>
          <w:b w:val="1"/>
          <w:bCs w:val="1"/>
          <w:color w:val="auto"/>
        </w:rPr>
      </w:pPr>
    </w:p>
    <w:p>
      <w:pPr>
        <w:jc w:val="both"/>
        <w:ind w:left="4" w:hanging="4"/>
        <w:spacing w:after="0" w:line="255" w:lineRule="auto"/>
        <w:tabs>
          <w:tab w:leader="none" w:pos="296"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Amendment. The Board may, at any time, amend, alter, suspend, discontinue, or terminate the Plan; provided, however, that no such amendment, alteration, suspension, discontinuation, or termination shall be made without the approval of the Company’s stockholders if (i) such approval is required by applicable law, rule, or regulation (including the listing requirements of the NYSE American or such other national securities exchange on which the Common Stock is then listed), (ii) the amendment would increase the number of shares of Common Stock available for issuance under the Plan (other than pursuant to Section 4(c) or Section 14), (iii) the amendment would expand the class of individuals eligible to participate in the Plan, or (iv) the amendment would permit repricing of Options or SARs in contravention of Section 6(h) or Section 7(f).</w:t>
      </w:r>
    </w:p>
    <w:p>
      <w:pPr>
        <w:spacing w:after="0" w:line="188" w:lineRule="exact"/>
        <w:rPr>
          <w:rFonts w:ascii="Times New Roman" w:cs="Times New Roman" w:eastAsia="Times New Roman" w:hAnsi="Times New Roman"/>
          <w:sz w:val="18"/>
          <w:szCs w:val="18"/>
          <w:b w:val="1"/>
          <w:bCs w:val="1"/>
          <w:color w:val="auto"/>
        </w:rPr>
      </w:pPr>
    </w:p>
    <w:p>
      <w:pPr>
        <w:jc w:val="both"/>
        <w:ind w:left="4" w:hanging="4"/>
        <w:spacing w:after="0" w:line="266" w:lineRule="auto"/>
        <w:tabs>
          <w:tab w:leader="none" w:pos="262"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Impairment. No amendment, alteration, suspension, discontinuation, or termination of the Plan shall materially and adversely affect the rights of any Participant under any outstanding Award without the consent of such Participant, except to the extent necessary to comply with applicable law, regulation, or listing requirement, or as otherwise permitted by the terms of the Award Agreement.</w:t>
      </w:r>
    </w:p>
    <w:p>
      <w:pPr>
        <w:spacing w:after="0" w:line="392"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SECTION 19. SECTION 409A COMPLIANCE</w:t>
      </w:r>
    </w:p>
    <w:p>
      <w:pPr>
        <w:spacing w:after="0" w:line="229" w:lineRule="exact"/>
        <w:rPr>
          <w:sz w:val="20"/>
          <w:szCs w:val="20"/>
          <w:color w:val="auto"/>
        </w:rPr>
      </w:pPr>
    </w:p>
    <w:p>
      <w:pPr>
        <w:jc w:val="both"/>
        <w:ind w:left="660" w:hanging="4"/>
        <w:spacing w:after="0" w:line="258" w:lineRule="auto"/>
        <w:tabs>
          <w:tab w:leader="none" w:pos="91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 It is intended that the Plan and Awards granted hereunder shall comply with, or be exempt from, the requirements of Section 409A, and the Plan and Award Agreements shall be interpreted and administered consistent with such intent. To the extent that the Plan Administrator determines that any Award is or may become subject to Section 409A, the Plan Administrator may adopt such amendments to the Plan and the applicable Award Agreement or take such other actions as the Plan Administrator deems necessary or appropriate to (i) exempt the Award from Section 409A, or (ii) comply with the requirements of Section 409A.</w:t>
      </w:r>
    </w:p>
    <w:p>
      <w:pPr>
        <w:spacing w:after="0" w:line="183" w:lineRule="exact"/>
        <w:rPr>
          <w:rFonts w:ascii="Times New Roman" w:cs="Times New Roman" w:eastAsia="Times New Roman" w:hAnsi="Times New Roman"/>
          <w:sz w:val="18"/>
          <w:szCs w:val="18"/>
          <w:b w:val="1"/>
          <w:bCs w:val="1"/>
          <w:color w:val="auto"/>
        </w:rPr>
      </w:pPr>
    </w:p>
    <w:p>
      <w:pPr>
        <w:jc w:val="both"/>
        <w:ind w:left="660" w:hanging="4"/>
        <w:spacing w:after="0" w:line="266" w:lineRule="auto"/>
        <w:tabs>
          <w:tab w:leader="none" w:pos="938"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Separation from Service. Notwithstanding any provision of the Plan to the contrary, to the extent that any Award constitutes “nonqualified deferred compensation” within the meaning of Section 409A, and the settlement of such Award is triggered by a termination of employment or service, such settlement shall not occur until the Participant experiences a “separation from service” within the meaning of Section 409A.</w:t>
      </w:r>
    </w:p>
    <w:p>
      <w:pPr>
        <w:spacing w:after="0" w:line="175" w:lineRule="exact"/>
        <w:rPr>
          <w:rFonts w:ascii="Times New Roman" w:cs="Times New Roman" w:eastAsia="Times New Roman" w:hAnsi="Times New Roman"/>
          <w:sz w:val="18"/>
          <w:szCs w:val="18"/>
          <w:b w:val="1"/>
          <w:bCs w:val="1"/>
          <w:color w:val="auto"/>
        </w:rPr>
      </w:pPr>
    </w:p>
    <w:p>
      <w:pPr>
        <w:jc w:val="both"/>
        <w:ind w:left="660" w:hanging="4"/>
        <w:spacing w:after="0" w:line="256" w:lineRule="auto"/>
        <w:tabs>
          <w:tab w:leader="none" w:pos="904"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Specified Employees. If a Participant is a “specified employee” within the meaning of Section 409A(a)(2)(B)(i) of the Code at the time of the Participant’s separation from service, and any payment or benefit to be provided under the Plan constitutes “nonqualified deferred compensation” subject to Section 409A that is payable on account of the Participant’s separation from service, then such payment or benefit shall not be made or provided until the date that is six (6) months and one (1) day following the Participant’s separation from service (or, if earlier, the date of the Participant’s death). Any payments delayed pursuant to this Section 19(c) shall be accumulated and paid in a lump sum on the first business day following the end of the six-month delay period.</w:t>
      </w:r>
    </w:p>
    <w:p>
      <w:pPr>
        <w:spacing w:after="0" w:line="187" w:lineRule="exact"/>
        <w:rPr>
          <w:rFonts w:ascii="Times New Roman" w:cs="Times New Roman" w:eastAsia="Times New Roman" w:hAnsi="Times New Roman"/>
          <w:sz w:val="18"/>
          <w:szCs w:val="18"/>
          <w:b w:val="1"/>
          <w:bCs w:val="1"/>
          <w:color w:val="auto"/>
        </w:rPr>
      </w:pPr>
    </w:p>
    <w:p>
      <w:pPr>
        <w:ind w:left="660" w:hanging="4"/>
        <w:spacing w:after="0" w:line="282" w:lineRule="auto"/>
        <w:tabs>
          <w:tab w:leader="none" w:pos="96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Acceleration. Except as otherwise permitted under Section 409A, no payment or benefit that constitutes “nonqualified deferred compensation” subject to Section 409A shall be subject to acceleration.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20. GOVERNING LAW</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Plan and all Award Agreements shall be governed by, and construed in accordance with, the laws of the State of Delaware, without regard to principles of conflict of laws, except to the extent that the laws of any other jurisdiction are mandatorily applicable.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21. SEVERABILITY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provision of the Plan or any Award Agreement is held to be invalid, illegal, or unenforceable in any respect, such invalidity, illegality, or unenforceability shall not affect any other provision, and the Plan and any such Award Agreement shall be reformed, construed, and enforced as if such invalid, illegal, or unenforceable provision had never been included therein.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22. CONSTRUCTION</w:t>
      </w:r>
    </w:p>
    <w:p>
      <w:pPr>
        <w:spacing w:after="0" w:line="229" w:lineRule="exact"/>
        <w:rPr>
          <w:sz w:val="20"/>
          <w:szCs w:val="20"/>
          <w:color w:val="auto"/>
        </w:rPr>
      </w:pPr>
    </w:p>
    <w:p>
      <w:pPr>
        <w:ind w:left="660" w:hanging="4"/>
        <w:spacing w:after="0" w:line="282" w:lineRule="auto"/>
        <w:tabs>
          <w:tab w:leader="none" w:pos="91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Headings. The headings and captions appearing in the Plan are inserted only as a matter of convenience. They do not define, limit, construe, or describe the scope or intent of the provisions of the Plan, and they shall not affect the meaning or interpretation of the Plan.</w:t>
      </w:r>
    </w:p>
    <w:p>
      <w:pPr>
        <w:spacing w:after="0" w:line="161" w:lineRule="exact"/>
        <w:rPr>
          <w:rFonts w:ascii="Times New Roman" w:cs="Times New Roman" w:eastAsia="Times New Roman" w:hAnsi="Times New Roman"/>
          <w:sz w:val="18"/>
          <w:szCs w:val="18"/>
          <w:b w:val="1"/>
          <w:bCs w:val="1"/>
          <w:color w:val="auto"/>
        </w:rPr>
      </w:pPr>
    </w:p>
    <w:p>
      <w:pPr>
        <w:ind w:left="660" w:right="20" w:hanging="4"/>
        <w:spacing w:after="0" w:line="282" w:lineRule="auto"/>
        <w:tabs>
          <w:tab w:leader="none" w:pos="92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Gender and Number. Whenever used in the Plan, nouns shall include each gender and the singular shall include the plural, and the plural shall include the singular, as the context may require.</w:t>
      </w:r>
    </w:p>
    <w:p>
      <w:pPr>
        <w:spacing w:after="0" w:line="161" w:lineRule="exact"/>
        <w:rPr>
          <w:rFonts w:ascii="Times New Roman" w:cs="Times New Roman" w:eastAsia="Times New Roman" w:hAnsi="Times New Roman"/>
          <w:sz w:val="18"/>
          <w:szCs w:val="18"/>
          <w:b w:val="1"/>
          <w:bCs w:val="1"/>
          <w:color w:val="auto"/>
        </w:rPr>
      </w:pPr>
    </w:p>
    <w:p>
      <w:pPr>
        <w:ind w:left="660" w:hanging="4"/>
        <w:spacing w:after="0" w:line="282" w:lineRule="auto"/>
        <w:tabs>
          <w:tab w:leader="none" w:pos="918"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References. Any reference in the Plan to a Section of the Code or the Exchange Act shall be deemed to include any successor provision thereto, and any reference to any Treasury Regulation or other regulatory guidance shall include any successor regulation or guidance.</w:t>
      </w:r>
    </w:p>
    <w:p>
      <w:pPr>
        <w:spacing w:after="0" w:line="161" w:lineRule="exact"/>
        <w:rPr>
          <w:rFonts w:ascii="Times New Roman" w:cs="Times New Roman" w:eastAsia="Times New Roman" w:hAnsi="Times New Roman"/>
          <w:sz w:val="18"/>
          <w:szCs w:val="18"/>
          <w:b w:val="1"/>
          <w:bCs w:val="1"/>
          <w:color w:val="auto"/>
        </w:rPr>
      </w:pPr>
    </w:p>
    <w:p>
      <w:pPr>
        <w:jc w:val="both"/>
        <w:ind w:left="660" w:hanging="4"/>
        <w:spacing w:after="0" w:line="266" w:lineRule="auto"/>
        <w:tabs>
          <w:tab w:leader="none" w:pos="92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Plan Not Exclusive. The adoption of the Plan shall not be construed as creating any limitations on the power of the Company to adopt such other incentive arrangements as it may deem desirable, including, without limitation, the granting of equity awards otherwise than under the Plan, and such arrangements may be either applicable generally or only in specific cases.</w:t>
      </w:r>
    </w:p>
    <w:p>
      <w:pPr>
        <w:spacing w:after="0" w:line="171" w:lineRule="exact"/>
        <w:rPr>
          <w:rFonts w:ascii="Times New Roman" w:cs="Times New Roman" w:eastAsia="Times New Roman" w:hAnsi="Times New Roman"/>
          <w:sz w:val="18"/>
          <w:szCs w:val="18"/>
          <w:b w:val="1"/>
          <w:bCs w:val="1"/>
          <w:color w:val="auto"/>
        </w:rPr>
      </w:pPr>
    </w:p>
    <w:p>
      <w:pPr>
        <w:ind w:left="5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 * * *</w:t>
      </w:r>
    </w:p>
    <w:p>
      <w:pPr>
        <w:spacing w:after="0" w:line="200" w:lineRule="exact"/>
        <w:rPr>
          <w:rFonts w:ascii="Times New Roman" w:cs="Times New Roman" w:eastAsia="Times New Roman" w:hAnsi="Times New Roman"/>
          <w:sz w:val="18"/>
          <w:szCs w:val="18"/>
          <w:b w:val="1"/>
          <w:bCs w:val="1"/>
          <w:color w:val="auto"/>
        </w:rPr>
      </w:pPr>
    </w:p>
    <w:p>
      <w:pPr>
        <w:spacing w:after="0" w:line="245" w:lineRule="exact"/>
        <w:rPr>
          <w:rFonts w:ascii="Times New Roman" w:cs="Times New Roman" w:eastAsia="Times New Roman" w:hAnsi="Times New Roman"/>
          <w:sz w:val="18"/>
          <w:szCs w:val="18"/>
          <w:b w:val="1"/>
          <w:bCs w:val="1"/>
          <w:color w:val="auto"/>
        </w:rPr>
      </w:pPr>
    </w:p>
    <w:p>
      <w:pPr>
        <w:ind w:left="5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spacing w:after="0" w:line="282" w:lineRule="auto"/>
        <w:rPr>
          <w:sz w:val="20"/>
          <w:szCs w:val="20"/>
          <w:color w:val="auto"/>
        </w:rPr>
      </w:pPr>
      <w:r>
        <w:rPr>
          <w:rFonts w:ascii="Times New Roman" w:cs="Times New Roman" w:eastAsia="Times New Roman" w:hAnsi="Times New Roman"/>
          <w:sz w:val="18"/>
          <w:szCs w:val="18"/>
          <w:color w:val="auto"/>
        </w:rPr>
        <w:t>IN WITNESS WHEREOF, BiomX Inc. has caused this 2026 Equity Incentive Plan to be executed by its duly authorized officer, effective as of April 10, 2026.</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BIOMX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Michael Oster</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 April 10, 2026</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93186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9318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3014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93014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2"/>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1)"/>
      <w:numFmt w:val="lowerLetter"/>
      <w:start w:val="1"/>
    </w:lvl>
  </w:abstractNum>
  <w:abstractNum w:abstractNumId="10">
    <w:nsid w:val="2443A858"/>
    <w:multiLevelType w:val="hybridMultilevel"/>
    <w:lvl w:ilvl="0">
      <w:lvlJc w:val="left"/>
      <w:lvlText w:val="(%1)"/>
      <w:numFmt w:val="lowerLetter"/>
      <w:start w:val="1"/>
    </w:lvl>
    <w:lvl w:ilvl="1">
      <w:lvlJc w:val="left"/>
      <w:lvlText w:val="(%2)"/>
      <w:numFmt w:val="lowerRoman"/>
      <w:start w:val="1"/>
    </w:lvl>
  </w:abstractNum>
  <w:abstractNum w:abstractNumId="11">
    <w:nsid w:val="2D1D5AE9"/>
    <w:multiLevelType w:val="hybridMultilevel"/>
    <w:lvl w:ilvl="0">
      <w:lvlJc w:val="left"/>
      <w:lvlText w:val="%1"/>
      <w:numFmt w:val="lowerLetter"/>
      <w:start w:val="1"/>
    </w:lvl>
    <w:lvl w:ilvl="1">
      <w:lvlJc w:val="left"/>
      <w:lvlText w:val="(%2)"/>
      <w:numFmt w:val="lowerRoman"/>
      <w:start w:val="5"/>
    </w:lvl>
  </w:abstractNum>
  <w:abstractNum w:abstractNumId="12">
    <w:nsid w:val="6763845E"/>
    <w:multiLevelType w:val="hybridMultilevel"/>
    <w:lvl w:ilvl="0">
      <w:lvlJc w:val="left"/>
      <w:lvlText w:val="(%1)"/>
      <w:numFmt w:val="lowerLetter"/>
      <w:start w:val="3"/>
    </w:lvl>
    <w:lvl w:ilvl="1">
      <w:lvlJc w:val="left"/>
      <w:lvlText w:val="%2"/>
      <w:numFmt w:val="lowerRoman"/>
      <w:start w:val="1"/>
    </w:lvl>
  </w:abstractNum>
  <w:abstractNum w:abstractNumId="13">
    <w:nsid w:val="75A2A8D4"/>
    <w:multiLevelType w:val="hybridMultilevel"/>
    <w:lvl w:ilvl="0">
      <w:lvlJc w:val="left"/>
      <w:lvlText w:val="(%1)"/>
      <w:numFmt w:val="lowerLetter"/>
      <w:start w:val="1"/>
    </w:lvl>
    <w:lvl w:ilvl="1">
      <w:lvlJc w:val="left"/>
      <w:lvlText w:val="(%2)"/>
      <w:numFmt w:val="lowerLetter"/>
      <w:start w:val="9"/>
    </w:lvl>
  </w:abstractNum>
  <w:abstractNum w:abstractNumId="14">
    <w:nsid w:val="8EDBDAB"/>
    <w:multiLevelType w:val="hybridMultilevel"/>
    <w:lvl w:ilvl="0">
      <w:lvlJc w:val="left"/>
      <w:lvlText w:val="%1"/>
      <w:numFmt w:val="lowerLetter"/>
      <w:start w:val="1"/>
    </w:lvl>
    <w:lvl w:ilvl="1">
      <w:lvlJc w:val="left"/>
      <w:lvlText w:val="(%2)"/>
      <w:numFmt w:val="lowerRoman"/>
      <w:start w:val="2"/>
    </w:lvl>
  </w:abstractNum>
  <w:abstractNum w:abstractNumId="15">
    <w:nsid w:val="79838CB2"/>
    <w:multiLevelType w:val="hybridMultilevel"/>
    <w:lvl w:ilvl="0">
      <w:lvlJc w:val="left"/>
      <w:lvlText w:val="(%1)"/>
      <w:numFmt w:val="lowerLetter"/>
      <w:start w:val="3"/>
    </w:lvl>
    <w:lvl w:ilvl="1">
      <w:lvlJc w:val="left"/>
      <w:lvlText w:val="%2"/>
      <w:numFmt w:val="lowerRoman"/>
      <w:start w:val="1"/>
    </w:lvl>
  </w:abstractNum>
  <w:abstractNum w:abstractNumId="16">
    <w:nsid w:val="4353D0CD"/>
    <w:multiLevelType w:val="hybridMultilevel"/>
    <w:lvl w:ilvl="0">
      <w:lvlJc w:val="left"/>
      <w:lvlText w:val="(%1)"/>
      <w:numFmt w:val="lowerLetter"/>
      <w:start w:val="1"/>
    </w:lvl>
  </w:abstractNum>
  <w:abstractNum w:abstractNumId="17">
    <w:nsid w:val="B03E0C6"/>
    <w:multiLevelType w:val="hybridMultilevel"/>
    <w:lvl w:ilvl="0">
      <w:lvlJc w:val="left"/>
      <w:lvlText w:val="(%1)"/>
      <w:numFmt w:val="lowerLetter"/>
      <w:start w:val="1"/>
    </w:lvl>
    <w:lvl w:ilvl="1">
      <w:lvlJc w:val="left"/>
      <w:lvlText w:val="(%2)"/>
      <w:numFmt w:val="lowerRoman"/>
      <w:start w:val="1"/>
    </w:lvl>
  </w:abstractNum>
  <w:abstractNum w:abstractNumId="18">
    <w:nsid w:val="189A769B"/>
    <w:multiLevelType w:val="hybridMultilevel"/>
    <w:lvl w:ilvl="0">
      <w:lvlJc w:val="left"/>
      <w:lvlText w:val="(%1)"/>
      <w:numFmt w:val="lowerLetter"/>
      <w:start w:val="1"/>
    </w:lvl>
  </w:abstractNum>
  <w:abstractNum w:abstractNumId="19">
    <w:nsid w:val="54E49EB4"/>
    <w:multiLevelType w:val="hybridMultilevel"/>
    <w:lvl w:ilvl="0">
      <w:lvlJc w:val="left"/>
      <w:lvlText w:val="(%1)"/>
      <w:numFmt w:val="lowerLetter"/>
      <w:start w:val="1"/>
    </w:lvl>
  </w:abstractNum>
  <w:abstractNum w:abstractNumId="20">
    <w:nsid w:val="71F32454"/>
    <w:multiLevelType w:val="hybridMultilevel"/>
    <w:lvl w:ilvl="0">
      <w:lvlJc w:val="left"/>
      <w:lvlText w:val="(%1)"/>
      <w:numFmt w:val="lowerLetter"/>
      <w:start w:val="1"/>
    </w:lvl>
  </w:abstractNum>
  <w:abstractNum w:abstractNumId="21">
    <w:nsid w:val="2CA88611"/>
    <w:multiLevelType w:val="hybridMultilevel"/>
    <w:lvl w:ilvl="0">
      <w:lvlJc w:val="left"/>
      <w:lvlText w:val="(%1)"/>
      <w:numFmt w:val="lowerLetter"/>
      <w:start w:val="1"/>
    </w:lvl>
  </w:abstractNum>
  <w:abstractNum w:abstractNumId="22">
    <w:nsid w:val="836C40E"/>
    <w:multiLevelType w:val="hybridMultilevel"/>
    <w:lvl w:ilvl="0">
      <w:lvlJc w:val="left"/>
      <w:lvlText w:val="(%1)"/>
      <w:numFmt w:val="lowerLetter"/>
      <w:start w:val="3"/>
    </w:lvl>
  </w:abstractNum>
  <w:abstractNum w:abstractNumId="23">
    <w:nsid w:val="2901D82"/>
    <w:multiLevelType w:val="hybridMultilevel"/>
    <w:lvl w:ilvl="0">
      <w:lvlJc w:val="left"/>
      <w:lvlText w:val="(%1)"/>
      <w:numFmt w:val="lowerLetter"/>
      <w:start w:val="1"/>
    </w:lvl>
    <w:lvl w:ilvl="1">
      <w:lvlJc w:val="left"/>
      <w:lvlText w:val="(%2)"/>
      <w:numFmt w:val="lowerRoman"/>
      <w:start w:val="1"/>
    </w:lvl>
  </w:abstractNum>
  <w:abstractNum w:abstractNumId="24">
    <w:nsid w:val="3A95F874"/>
    <w:multiLevelType w:val="hybridMultilevel"/>
    <w:lvl w:ilvl="0">
      <w:lvlJc w:val="left"/>
      <w:lvlText w:val="(%1)"/>
      <w:numFmt w:val="lowerLetter"/>
      <w:start w:val="2"/>
    </w:lvl>
    <w:lvl w:ilvl="1">
      <w:lvlJc w:val="left"/>
      <w:lvlText w:val="(%2)"/>
      <w:numFmt w:val="lowerRoman"/>
      <w:start w:val="1"/>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lowerLetter"/>
      <w:start w:val="1"/>
    </w:lvl>
  </w:abstractNum>
  <w:abstractNum w:abstractNumId="27">
    <w:nsid w:val="7C3DBD3D"/>
    <w:multiLevelType w:val="hybridMultilevel"/>
    <w:lvl w:ilvl="0">
      <w:lvlJc w:val="left"/>
      <w:lvlText w:val="(%1)"/>
      <w:numFmt w:val="lowerLetter"/>
      <w:start w:val="2"/>
    </w:lvl>
  </w:abstractNum>
  <w:abstractNum w:abstractNumId="28">
    <w:nsid w:val="737B8DDC"/>
    <w:multiLevelType w:val="hybridMultilevel"/>
    <w:lvl w:ilvl="0">
      <w:lvlJc w:val="left"/>
      <w:lvlText w:val="(%1)"/>
      <w:numFmt w:val="lowerLetter"/>
      <w:start w:val="1"/>
    </w:lvl>
  </w:abstractNum>
  <w:abstractNum w:abstractNumId="29">
    <w:nsid w:val="6CEAF087"/>
    <w:multiLevelType w:val="hybridMultilevel"/>
    <w:lvl w:ilvl="0">
      <w:lvlJc w:val="left"/>
      <w:lvlText w:val="(%1)"/>
      <w:numFmt w:val="lowerLetter"/>
      <w:start w:val="9"/>
    </w:lvl>
  </w:abstractNum>
  <w:abstractNum w:abstractNumId="30">
    <w:nsid w:val="22221A70"/>
    <w:multiLevelType w:val="hybridMultilevel"/>
    <w:lvl w:ilvl="0">
      <w:lvlJc w:val="left"/>
      <w:lvlText w:val="(%1)"/>
      <w:numFmt w:val="lowerLetter"/>
      <w:start w:val="1"/>
    </w:lvl>
  </w:abstractNum>
  <w:abstractNum w:abstractNumId="31">
    <w:nsid w:val="4516DDE9"/>
    <w:multiLevelType w:val="hybridMultilevel"/>
    <w:lvl w:ilvl="0">
      <w:lvlJc w:val="left"/>
      <w:lvlText w:val="(%1)"/>
      <w:numFmt w:val="lowerLetter"/>
      <w:start w:val="1"/>
    </w:lvl>
  </w:abstractNum>
  <w:abstractNum w:abstractNumId="32">
    <w:nsid w:val="3006C83E"/>
    <w:multiLevelType w:val="hybridMultilevel"/>
    <w:lvl w:ilvl="0">
      <w:lvlJc w:val="left"/>
      <w:lvlText w:val="(%1)"/>
      <w:numFmt w:val="lowerLetter"/>
      <w:start w:val="1"/>
    </w:lvl>
  </w:abstractNum>
  <w:abstractNum w:abstractNumId="33">
    <w:nsid w:val="614FD4A1"/>
    <w:multiLevelType w:val="hybridMultilevel"/>
    <w:lvl w:ilvl="0">
      <w:lvlJc w:val="left"/>
      <w:lvlText w:val="(%1)"/>
      <w:numFmt w:val="lowerLetter"/>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2026-06-08T16:21:20Z</dcterms:created>
  <dcterms:modified xsi:type="dcterms:W3CDTF">2026-06-08T16:21:20Z</dcterms:modified>
</cp:coreProperties>
</file>