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760" w:type="dxa"/>
            <w:vAlign w:val="bottom"/>
          </w:tcPr>
          <w:p>
            <w:pPr>
              <w:spacing w:after="0"/>
              <w:rPr>
                <w:sz w:val="20"/>
                <w:szCs w:val="20"/>
                <w:color w:val="auto"/>
              </w:rPr>
            </w:pPr>
          </w:p>
        </w:tc>
      </w:tr>
      <w:tr>
        <w:trPr>
          <w:trHeight w:val="414"/>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76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55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Pursuant to Section 13 or 15(d) of the Securities Exchange Act of 1934</w:t>
            </w:r>
          </w:p>
        </w:tc>
        <w:tc>
          <w:tcPr>
            <w:tcW w:w="2760" w:type="dxa"/>
            <w:vAlign w:val="bottom"/>
          </w:tcPr>
          <w:p>
            <w:pPr>
              <w:spacing w:after="0"/>
              <w:rPr>
                <w:sz w:val="20"/>
                <w:szCs w:val="20"/>
                <w:color w:val="auto"/>
              </w:rPr>
            </w:pPr>
          </w:p>
        </w:tc>
      </w:tr>
      <w:tr>
        <w:trPr>
          <w:trHeight w:val="432"/>
        </w:trPr>
        <w:tc>
          <w:tcPr>
            <w:tcW w:w="2900" w:type="dxa"/>
            <w:vAlign w:val="bottom"/>
          </w:tcPr>
          <w:p>
            <w:pPr>
              <w:spacing w:after="0"/>
              <w:rPr>
                <w:sz w:val="24"/>
                <w:szCs w:val="24"/>
                <w:color w:val="auto"/>
              </w:rPr>
            </w:pPr>
          </w:p>
        </w:tc>
        <w:tc>
          <w:tcPr>
            <w:tcW w:w="55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June 2, 2026</w:t>
            </w:r>
          </w:p>
        </w:tc>
        <w:tc>
          <w:tcPr>
            <w:tcW w:w="2760" w:type="dxa"/>
            <w:vAlign w:val="bottom"/>
          </w:tcPr>
          <w:p>
            <w:pPr>
              <w:spacing w:after="0"/>
              <w:rPr>
                <w:sz w:val="24"/>
                <w:szCs w:val="24"/>
                <w:color w:val="auto"/>
              </w:rPr>
            </w:pPr>
          </w:p>
        </w:tc>
      </w:tr>
      <w:tr>
        <w:trPr>
          <w:trHeight w:val="412"/>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BIOMX INC.</w:t>
            </w:r>
          </w:p>
        </w:tc>
        <w:tc>
          <w:tcPr>
            <w:tcW w:w="2760" w:type="dxa"/>
            <w:vAlign w:val="bottom"/>
          </w:tcPr>
          <w:p>
            <w:pPr>
              <w:spacing w:after="0"/>
              <w:rPr>
                <w:sz w:val="24"/>
                <w:szCs w:val="24"/>
                <w:color w:val="auto"/>
              </w:rPr>
            </w:pPr>
          </w:p>
        </w:tc>
      </w:tr>
      <w:tr>
        <w:trPr>
          <w:trHeight w:val="236"/>
        </w:trPr>
        <w:tc>
          <w:tcPr>
            <w:tcW w:w="2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i w:val="1"/>
                <w:iCs w:val="1"/>
                <w:color w:val="auto"/>
                <w:w w:val="99"/>
              </w:rPr>
              <w:t>(Exact name of registrant as specified in its charter)</w:t>
            </w:r>
          </w:p>
        </w:tc>
        <w:tc>
          <w:tcPr>
            <w:tcW w:w="2760" w:type="dxa"/>
            <w:vAlign w:val="bottom"/>
          </w:tcPr>
          <w:p>
            <w:pPr>
              <w:spacing w:after="0"/>
              <w:rPr>
                <w:sz w:val="20"/>
                <w:szCs w:val="20"/>
                <w:color w:val="auto"/>
              </w:rPr>
            </w:pPr>
          </w:p>
        </w:tc>
      </w:tr>
      <w:tr>
        <w:trPr>
          <w:trHeight w:val="453"/>
        </w:trPr>
        <w:tc>
          <w:tcPr>
            <w:tcW w:w="29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Delaware</w:t>
            </w:r>
          </w:p>
        </w:tc>
        <w:tc>
          <w:tcPr>
            <w:tcW w:w="454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001-38762</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82-3364020</w:t>
            </w:r>
          </w:p>
        </w:tc>
      </w:tr>
      <w:tr>
        <w:trPr>
          <w:trHeight w:val="198"/>
        </w:trPr>
        <w:tc>
          <w:tcPr>
            <w:tcW w:w="2900" w:type="dxa"/>
            <w:vAlign w:val="bottom"/>
            <w:tcBorders>
              <w:top w:val="single" w:sz="8" w:color="auto"/>
            </w:tcBorders>
          </w:tcPr>
          <w:p>
            <w:pPr>
              <w:ind w:left="84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ind w:left="40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850 New Burton Road, Suite 201</w:t>
            </w:r>
          </w:p>
        </w:tc>
        <w:tc>
          <w:tcPr>
            <w:tcW w:w="2760" w:type="dxa"/>
            <w:vAlign w:val="bottom"/>
          </w:tcPr>
          <w:p>
            <w:pPr>
              <w:spacing w:after="0"/>
              <w:rPr>
                <w:sz w:val="24"/>
                <w:szCs w:val="24"/>
                <w:color w:val="auto"/>
              </w:rPr>
            </w:pPr>
          </w:p>
        </w:tc>
      </w:tr>
      <w:tr>
        <w:trPr>
          <w:trHeight w:val="214"/>
        </w:trPr>
        <w:tc>
          <w:tcPr>
            <w:tcW w:w="2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Dover, Delaware 19904</w:t>
            </w:r>
          </w:p>
        </w:tc>
        <w:tc>
          <w:tcPr>
            <w:tcW w:w="2760" w:type="dxa"/>
            <w:vAlign w:val="bottom"/>
          </w:tcPr>
          <w:p>
            <w:pPr>
              <w:spacing w:after="0"/>
              <w:rPr>
                <w:sz w:val="18"/>
                <w:szCs w:val="18"/>
                <w:color w:val="auto"/>
              </w:rPr>
            </w:pPr>
          </w:p>
        </w:tc>
      </w:tr>
      <w:tr>
        <w:trPr>
          <w:trHeight w:val="236"/>
        </w:trPr>
        <w:tc>
          <w:tcPr>
            <w:tcW w:w="2900" w:type="dxa"/>
            <w:vAlign w:val="bottom"/>
          </w:tcPr>
          <w:p>
            <w:pPr>
              <w:spacing w:after="0"/>
              <w:rPr>
                <w:sz w:val="20"/>
                <w:szCs w:val="20"/>
                <w:color w:val="auto"/>
              </w:rPr>
            </w:pPr>
          </w:p>
        </w:tc>
        <w:tc>
          <w:tcPr>
            <w:tcW w:w="55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including zip code)</w:t>
            </w:r>
          </w:p>
        </w:tc>
        <w:tc>
          <w:tcPr>
            <w:tcW w:w="2760" w:type="dxa"/>
            <w:vAlign w:val="bottom"/>
          </w:tcPr>
          <w:p>
            <w:pPr>
              <w:spacing w:after="0"/>
              <w:rPr>
                <w:sz w:val="20"/>
                <w:szCs w:val="20"/>
                <w:color w:val="auto"/>
              </w:rPr>
            </w:pPr>
          </w:p>
        </w:tc>
      </w:tr>
      <w:tr>
        <w:trPr>
          <w:trHeight w:val="412"/>
        </w:trPr>
        <w:tc>
          <w:tcPr>
            <w:tcW w:w="2900" w:type="dxa"/>
            <w:vAlign w:val="bottom"/>
          </w:tcPr>
          <w:p>
            <w:pPr>
              <w:spacing w:after="0"/>
              <w:rPr>
                <w:sz w:val="24"/>
                <w:szCs w:val="24"/>
                <w:color w:val="auto"/>
              </w:rPr>
            </w:pPr>
          </w:p>
        </w:tc>
        <w:tc>
          <w:tcPr>
            <w:tcW w:w="45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(972) 52-437-4900</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36"/>
        </w:trPr>
        <w:tc>
          <w:tcPr>
            <w:tcW w:w="2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6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2760" w:type="dxa"/>
            <w:vAlign w:val="bottom"/>
          </w:tcPr>
          <w:p>
            <w:pPr>
              <w:spacing w:after="0"/>
              <w:rPr>
                <w:sz w:val="20"/>
                <w:szCs w:val="20"/>
                <w:color w:val="auto"/>
              </w:rPr>
            </w:pPr>
          </w:p>
        </w:tc>
      </w:tr>
      <w:tr>
        <w:trPr>
          <w:trHeight w:val="412"/>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w w:val="99"/>
              </w:rPr>
              <w:t>Not Applicable</w:t>
            </w:r>
          </w:p>
        </w:tc>
        <w:tc>
          <w:tcPr>
            <w:tcW w:w="2760" w:type="dxa"/>
            <w:vAlign w:val="bottom"/>
          </w:tcPr>
          <w:p>
            <w:pPr>
              <w:spacing w:after="0"/>
              <w:rPr>
                <w:sz w:val="24"/>
                <w:szCs w:val="24"/>
                <w:color w:val="auto"/>
              </w:rPr>
            </w:pPr>
          </w:p>
        </w:tc>
      </w:tr>
      <w:tr>
        <w:trPr>
          <w:trHeight w:val="236"/>
        </w:trPr>
        <w:tc>
          <w:tcPr>
            <w:tcW w:w="2900" w:type="dxa"/>
            <w:vAlign w:val="bottom"/>
          </w:tcPr>
          <w:p>
            <w:pPr>
              <w:spacing w:after="0"/>
              <w:rPr>
                <w:sz w:val="20"/>
                <w:szCs w:val="20"/>
                <w:color w:val="auto"/>
              </w:rPr>
            </w:pPr>
          </w:p>
        </w:tc>
        <w:tc>
          <w:tcPr>
            <w:tcW w:w="55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(Former name or former address, if changed since last report)</w:t>
            </w:r>
          </w:p>
        </w:tc>
        <w:tc>
          <w:tcPr>
            <w:tcW w:w="27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PHGE</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 2026, BiomX Inc. (the “Company”) issued 1,013,637 restricted shares of common stock to three individual assignees upon the partial conversion of an outstanding convertible promissory note (the “Conversion Shares”) originally issued to Mandragola Ltd., a company formed under the laws of the State of Israel (“Mandragola”).</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on May 13, 2026, the Company and Mandragola entered into a Line of Credit Agreement establishing a revolving line of credit of up to $2,000,000 (the “Credit Line”) available to the Company or any operating subsidiary. Each advance is evidenced by a convertible promissory note bearing simple annual interest at 12% and convertible into shares of the Company’s common stock at the closing price of the Common Stock on the trading day immediately preceding delivery of the notice of conversion. The parties also agreed that prior advances made by Mandragola in respect of the Company’s acquisition of a controlling stake in Dr. Frucht Systems Ltd. (“DFSL”) are deemed to be advances within the Credit Line. As additional consideration for making the Credit Line available, the Company also issued to Mandragola a five-year warrant to purchase up to 2,000,000 shares of Common Stock at an exercise price of $12.00 per share, with a cashless exercise feature. The shares issuable upon exercise of the warrant are subject to obtaining stockholder approval under the applicable rules of the NYSE American. The warrant was issued to Mandragola in reliance on Section 4(a)(2) of the Securities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Conversion Shares were issued upon the conversion of approximately $379,000 in principal amount extended by Mandragola.</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Conversion Shares have not been registered under the Securities Act of 1933 (as amended, the “Securities Act”) or under any state securities law and were offered and issued, as applicable, in reliance upon the exemption from registration requirements of the Securities Act set forth in Section 4(a)(2) of the Securities Act. The Company did not engage in a general solicitation or advertising regarding the issuance of the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issuance, the Company currently has 11,160,153 shares of common stock issued and outstanding.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Credit Line, the form of Note and the Warrant issued to Mandragola in connection with the Credit Line are attached as exhibits 10.1, 4.1 and 4.2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120" w:type="dxa"/>
            <w:vAlign w:val="bottom"/>
            <w:tcBorders>
              <w:top w:val="single" w:sz="8" w:color="auto"/>
              <w:bottom w:val="single" w:sz="8" w:color="0000EE"/>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Form of 12% Convertible Promissory Note</w:t>
            </w:r>
          </w:p>
        </w:tc>
        <w:tc>
          <w:tcPr>
            <w:tcW w:w="6980" w:type="dxa"/>
            <w:vAlign w:val="bottom"/>
            <w:tcBorders>
              <w:top w:val="single" w:sz="8" w:color="auto"/>
              <w:bottom w:val="single" w:sz="8" w:color="CCEEFF"/>
            </w:tcBorders>
            <w:gridSpan w:val="3"/>
            <w:shd w:val="clear" w:color="auto" w:fill="CCEEFF"/>
          </w:tcPr>
          <w:p>
            <w:pPr>
              <w:spacing w:after="0"/>
              <w:rPr>
                <w:sz w:val="16"/>
                <w:szCs w:val="16"/>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Warrant to Purchase Common Stock, dated May 13, 2026</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5"/>
                <w:szCs w:val="15"/>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Line of Credit Agreement, dated as of May 13, 2026, between BiomX Inc. and Mandragola Ltd.</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2760" w:type="dxa"/>
            <w:vAlign w:val="bottom"/>
            <w:tcBorders>
              <w:top w:val="single" w:sz="8" w:color="0000EE"/>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r>
    </w:tbl>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BIOMX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2026</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Oster</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NOTE HAS NOT BEEN REGISTERED UNDER THE SECURITIES ACT OF 1933 (THE “ACT”) OR UNDER THE LAWS OF ANY STATE OR OTHER JURISDICTION. THIS NOTE MAY NOT BE OFFERED OR SOLD UNLESS REGISTERED UNDER THE ACT AND UNDER THE LAWS OF THE STATES WHERE EACH SALE IS MADE, OR AN EXEMPTION FROM THE REGISTRATION REQUIREMENTS IS AVAILABLE IN THE OPINION OF COUNSEL SATISFACTORY TO THE BORROWER.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CONVERTIBLE PROMISSORY NOTE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VALUE RECEIVED, </w:t>
      </w:r>
      <w:r>
        <w:rPr>
          <w:rFonts w:ascii="Times New Roman" w:cs="Times New Roman" w:eastAsia="Times New Roman" w:hAnsi="Times New Roman"/>
          <w:sz w:val="18"/>
          <w:szCs w:val="18"/>
          <w:b w:val="1"/>
          <w:bCs w:val="1"/>
          <w:color w:val="auto"/>
        </w:rPr>
        <w:t>______________,</w:t>
      </w:r>
      <w:r>
        <w:rPr>
          <w:rFonts w:ascii="Times New Roman" w:cs="Times New Roman" w:eastAsia="Times New Roman" w:hAnsi="Times New Roman"/>
          <w:sz w:val="18"/>
          <w:szCs w:val="18"/>
          <w:color w:val="auto"/>
        </w:rPr>
        <w:t xml:space="preserve"> a company formed under the laws of the State of Israel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hereby promises to pay to</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Mandragola Ltd. a company formed under the laws of the State of Israel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 aggregate principal amount of the Loan (as defined below) which is outstanding from time to time and evidenced hereby as set forth below.</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Upon at least two (2) business days’ prior written notice to the Holder, the Borrower may borrow from the Holder, and the Holder shall advance to the Borrower, such amount that is so requested by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aggregate principal amount outstanding under this Note shall not exceed $2,000,000.00 at any given time and the Holder shall not be obligated to make any advances if an Event of Default has occurred and is continuing. The principal amount borrowed and outstanding under this Note is sometimes referred to herein as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Loan is being made in connection with the transactions contemplated by the Agreement dated as of May 13, 2026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between BiomX Inc., a Delaware corporation (“</w:t>
      </w:r>
      <w:r>
        <w:rPr>
          <w:rFonts w:ascii="Times New Roman" w:cs="Times New Roman" w:eastAsia="Times New Roman" w:hAnsi="Times New Roman"/>
          <w:sz w:val="18"/>
          <w:szCs w:val="18"/>
          <w:u w:val="single" w:color="auto"/>
          <w:color w:val="auto"/>
        </w:rPr>
        <w:t>BiomX</w:t>
      </w:r>
      <w:r>
        <w:rPr>
          <w:rFonts w:ascii="Times New Roman" w:cs="Times New Roman" w:eastAsia="Times New Roman" w:hAnsi="Times New Roman"/>
          <w:sz w:val="18"/>
          <w:szCs w:val="18"/>
          <w:color w:val="auto"/>
        </w:rPr>
        <w:t>”), and Holder.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amount of the Loan shall be due and payable on or before May 13, 2029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occurrence and during the continuance of any Event of Default (as defined in the Credit Agreement), the amounts then due and payable under this Note (including the entire principal if such payments are accelerated at the election of the Holder) shall bear interest equal to the lesser of (a) the maximum amount permitted to be charged under applicable law or (b) fifteen (15%) percent per annum from the due date thereof until paid in full or such Event of Default has been cured or waived (the “</w:t>
      </w:r>
      <w:r>
        <w:rPr>
          <w:rFonts w:ascii="Times New Roman" w:cs="Times New Roman" w:eastAsia="Times New Roman" w:hAnsi="Times New Roman"/>
          <w:sz w:val="18"/>
          <w:szCs w:val="18"/>
          <w:u w:val="single" w:color="auto"/>
          <w:color w:val="auto"/>
        </w:rPr>
        <w:t>Default Interest Rate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additional terms shall apply to this Note:</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GENERAL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Interest on the outstanding amount of the Note shall accrue at the simple annual interest rate of 12%.</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Payment Records.</w:t>
      </w:r>
      <w:r>
        <w:rPr>
          <w:rFonts w:ascii="Times New Roman" w:cs="Times New Roman" w:eastAsia="Times New Roman" w:hAnsi="Times New Roman"/>
          <w:sz w:val="18"/>
          <w:szCs w:val="18"/>
          <w:color w:val="auto"/>
        </w:rPr>
        <w:t xml:space="preserve"> The amount, date and unpaid balance of the Loan shall be as evidenced by the applicable books and records of the Holder, which shall be conclusive evidence thereof in the absence of manifest error. The Holder is hereby authorized to endorse such particulars of the Loan on the grid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Payment on Non-Business Day</w:t>
      </w:r>
      <w:r>
        <w:rPr>
          <w:rFonts w:ascii="Times New Roman" w:cs="Times New Roman" w:eastAsia="Times New Roman" w:hAnsi="Times New Roman"/>
          <w:sz w:val="18"/>
          <w:szCs w:val="18"/>
          <w:color w:val="auto"/>
        </w:rPr>
        <w:t>. If this Note, or any payment hereunder, falls due on a Saturday, Sunday or a public holiday in Israel, this Note shall fall due or such payment shall be made on the next succeeding business day.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Cost of Collection</w:t>
      </w:r>
      <w:r>
        <w:rPr>
          <w:rFonts w:ascii="Times New Roman" w:cs="Times New Roman" w:eastAsia="Times New Roman" w:hAnsi="Times New Roman"/>
          <w:sz w:val="18"/>
          <w:szCs w:val="18"/>
          <w:color w:val="auto"/>
        </w:rPr>
        <w:t>. If any payment due hereunder is not paid when due, the Borrower agrees to pay all costs of collection, including attorney’s fees, all of which shall be added to the amount due hereunder, such charges to bear interest at the Default Interest Rate. In addition, if this Note is referred by Holder to any attorney for collection, the Borrower shall pay all attorney fees incurred by Holder therefor.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The Borrower may prepay all or part of this Note without penalty or premium.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CONVERSION</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Conversion Right; Conversion Price</w:t>
      </w:r>
      <w:r>
        <w:rPr>
          <w:rFonts w:ascii="Times New Roman" w:cs="Times New Roman" w:eastAsia="Times New Roman" w:hAnsi="Times New Roman"/>
          <w:sz w:val="18"/>
          <w:szCs w:val="18"/>
          <w:color w:val="auto"/>
        </w:rPr>
        <w:t>. The Holder may elect at any time to convert all or any portion of the unpaid principal balance of the Note and all accrued and unpaid interest thereon into shares of the common stock of BiomX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at a price per share equal to the Conversion Price of a share of Common Stock on the Trading Market (such per share conversion price being the “</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and such shares referred to as the “</w:t>
      </w:r>
      <w:r>
        <w:rPr>
          <w:rFonts w:ascii="Times New Roman" w:cs="Times New Roman" w:eastAsia="Times New Roman" w:hAnsi="Times New Roman"/>
          <w:sz w:val="18"/>
          <w:szCs w:val="18"/>
          <w:u w:val="single" w:color="auto"/>
          <w:color w:val="auto"/>
        </w:rPr>
        <w:t>Conversion Stock</w:t>
      </w:r>
      <w:r>
        <w:rPr>
          <w:rFonts w:ascii="Times New Roman" w:cs="Times New Roman" w:eastAsia="Times New Roman" w:hAnsi="Times New Roman"/>
          <w:sz w:val="18"/>
          <w:szCs w:val="18"/>
          <w:color w:val="auto"/>
        </w:rPr>
        <w:t>”), subject to adjustment as herein provided, upon written notice to the Company of Holder’s election to convert any portion of such unpaid principal balance.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shall be the closing price of the Common Stock on the Trading Market on the trading day immediately preceding the delivery of notice by the Holder of its desire to convert the outstanding amount of the Note. Conversion Stock shall be issued as book entry shares and no physical certificates shall be issued. No fractional shares of Conversion Stock shall be issued upon conversion of this Note. In lieu of such fractional shares, the Company shall round to the nearest share with each half share rounded up to the nearest share.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OTC Markets, the NYSE American, the Nasdaq Capital Market, the Nasdaq Global Market, the Nasdaq Global Select Market, or the New York Stock Exchange (or any successors to any of the foregoing).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Notwithstanding any other provision of this Note, in no event shall the aggregate number of shares of Common Stock issued upon conversion of this Note, when aggregated with shares of Common Stock issued in any related issuance (including the conversion of any other promissory note or convertible instrument issued by the Borrower), exceeds 19.99% of the outstanding Common Stock, unless and until BiomX obtains the requisite stockholder approval under NYSE American. If needed, BiomX covenants to use commercially reasonable efforts to obtain such stockholder approval as promptly as practicable following the date of this Note.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Form of Conversion Stock; Legend</w:t>
      </w:r>
      <w:r>
        <w:rPr>
          <w:rFonts w:ascii="Times New Roman" w:cs="Times New Roman" w:eastAsia="Times New Roman" w:hAnsi="Times New Roman"/>
          <w:sz w:val="18"/>
          <w:szCs w:val="18"/>
          <w:color w:val="auto"/>
        </w:rPr>
        <w:t>. Conversion Stock shall be issued as book-entry shares (no physical certificates) and shall bear a customary restrictive legend reflecting that the Conversion Stock is being issued in reliance on Section 4(a)(2)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and/or Rule 506(b) of Regulation D thereunder.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Borrower</w:t>
      </w:r>
      <w:r>
        <w:rPr>
          <w:rFonts w:ascii="Times New Roman" w:cs="Times New Roman" w:eastAsia="Times New Roman" w:hAnsi="Times New Roman"/>
          <w:sz w:val="18"/>
          <w:szCs w:val="18"/>
          <w:color w:val="auto"/>
        </w:rPr>
        <w:t>. The Borrower hereby represents and warrants to the Holder that: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Organization, Good Standing and Qualification.</w:t>
      </w:r>
      <w:r>
        <w:rPr>
          <w:rFonts w:ascii="Times New Roman" w:cs="Times New Roman" w:eastAsia="Times New Roman" w:hAnsi="Times New Roman"/>
          <w:sz w:val="18"/>
          <w:szCs w:val="18"/>
          <w:color w:val="auto"/>
        </w:rPr>
        <w:t xml:space="preserve"> The Borrower is a corporation duly organized, validly existing and in good standing under the laws of the State of Israel.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All organizational action on the part of the Borrower, its officers and directors necessary for the authorization, execution and delivery of this Note and the performance of all obligations of the Borrower hereunder has been taken and the Note constitutes valid and legally binding obligations of the Borrower, enforceable against the Borrower in accordance with its terms.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Governmental Consents</w:t>
      </w:r>
      <w:r>
        <w:rPr>
          <w:rFonts w:ascii="Times New Roman" w:cs="Times New Roman" w:eastAsia="Times New Roman" w:hAnsi="Times New Roman"/>
          <w:sz w:val="18"/>
          <w:szCs w:val="18"/>
          <w:color w:val="auto"/>
        </w:rPr>
        <w:t>. No consent, approval, order or authorization of, or registration, qualification, designation, declaration or filing with, any federal, state or local governmental authority on the part of the Borrower is required in connection with the consummation of the transactions contemplated by this Note.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Borrower is not in violation or default of any provisions of its Articles of Incorporation or By-laws or of any material instrument, judgment, order, writ, decree or contract to which it is a party or by which it is bound or of any provision of federal or state statute, rule or regulation applicable to the Borrower. The execution, delivery and performance of this Note and the consummation of the transactions contemplated hereby will not result in any such violation or be in conflict with or constitute, with or without the passage of time and giving of notice, either a default under any such provision, instrument, judgment, order, writ, decree or contract or an event which results in the creation of any lien, charge or encumbrance upon any assets of the Borrower.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Holder</w:t>
      </w:r>
      <w:r>
        <w:rPr>
          <w:rFonts w:ascii="Times New Roman" w:cs="Times New Roman" w:eastAsia="Times New Roman" w:hAnsi="Times New Roman"/>
          <w:sz w:val="18"/>
          <w:szCs w:val="18"/>
          <w:color w:val="auto"/>
        </w:rPr>
        <w:t>. The Holder hereby represents and warrants to the Borrower and BiomX that: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Organization, Good Standing and Qualification.</w:t>
      </w:r>
      <w:r>
        <w:rPr>
          <w:rFonts w:ascii="Times New Roman" w:cs="Times New Roman" w:eastAsia="Times New Roman" w:hAnsi="Times New Roman"/>
          <w:sz w:val="18"/>
          <w:szCs w:val="18"/>
          <w:color w:val="auto"/>
        </w:rPr>
        <w:t xml:space="preserve"> The Holder is a corporation duly organized, validly existing and in good standing under the laws of the State of Israel.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All organizational action on the part of the Holder, its officers and directors necessary for the authorization, execution and delivery of this Note and the performance of all obligations of the Holder hereunder has been taken and the Note constitutes valid and legally binding obligations of the Holder, enforceable against the Holder in accordance with its terms.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Governmental Consents</w:t>
      </w:r>
      <w:r>
        <w:rPr>
          <w:rFonts w:ascii="Times New Roman" w:cs="Times New Roman" w:eastAsia="Times New Roman" w:hAnsi="Times New Roman"/>
          <w:sz w:val="18"/>
          <w:szCs w:val="18"/>
          <w:color w:val="auto"/>
        </w:rPr>
        <w:t>. No consent, approval, order or authorization of, or registration, qualification, designation, declaration or filing with, any federal, state or local governmental authority on the part of the Holder is required in connection with the consummation of the transactions contemplated by this Note.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Holder is not in violation or default of any provisions of its Articles of Incorporation or By-laws or of any material instrument, judgment, order, writ, decree or contract to which it is a party or by which it is bound or of any provision of federal or state statute, rule or regulation applicable to the Holder. The execution, delivery and performance of this Note and the consummation of the transactions contemplated hereby will not result in any such violation or be in conflict with or constitute, with or without the passage of time and giving of notice, either a default under any such provision, instrument, judgment, order, writ, decree or contract or an event which results in the creation of any lien, charge or encumbrance upon any assets of the Holder.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Securities Representations</w:t>
      </w:r>
      <w:r>
        <w:rPr>
          <w:rFonts w:ascii="Times New Roman" w:cs="Times New Roman" w:eastAsia="Times New Roman" w:hAnsi="Times New Roman"/>
          <w:sz w:val="18"/>
          <w:szCs w:val="18"/>
          <w:color w:val="auto"/>
        </w:rPr>
        <w:t>. The Holder (a) is an “accredited investor”, as defined in Rule 501(a) of Regulation D under the Securities Act;</w:t>
      </w:r>
    </w:p>
    <w:p>
      <w:pPr>
        <w:spacing w:after="0" w:line="27" w:lineRule="exact"/>
        <w:rPr>
          <w:sz w:val="20"/>
          <w:szCs w:val="20"/>
          <w:color w:val="auto"/>
        </w:rPr>
      </w:pPr>
    </w:p>
    <w:p>
      <w:pPr>
        <w:jc w:val="both"/>
        <w:ind w:firstLine="8"/>
        <w:spacing w:after="0" w:line="253" w:lineRule="auto"/>
        <w:tabs>
          <w:tab w:leader="none" w:pos="2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acquiring this Note (and any Conversion Stock issued hereunder) for its own account, for investment purposes only, and not with a view to or for sale in connection with any distribution thereof in violation of the Securities Act; (c) has access to such information concerning BiomX as it deems necessary, including the filings made by BiomX with the U.S. Securities and Exchange Commission, and has had the opportunity to ask questions of BiomX’s management; (d) is able to bear the economic risk of the investment, including a complete loss thereof; and (e) understands that this Note (and any Conversion Stock) constitute restricted securities under Rule 144 of the Securities Act and will bear a customary restrictive legend.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Adjustments to Conversion Price</w:t>
      </w:r>
      <w:r>
        <w:rPr>
          <w:rFonts w:ascii="Times New Roman" w:cs="Times New Roman" w:eastAsia="Times New Roman" w:hAnsi="Times New Roman"/>
          <w:sz w:val="18"/>
          <w:szCs w:val="18"/>
          <w:color w:val="auto"/>
        </w:rPr>
        <w:t>. Without limiting any provision hereof, if BiomX at any time on or after the date hereof subdivides (by any stock split, stock dividend, recapitalization or otherwise) one or more classes of its outstanding shares of Common Stock into a greater number of shares, the Conversion Price in effect immediately prior to such subdivision will be proportionately reduced. Without Limiting any provision hereof, if Borrower at any time on or after the date hereof combines (by combination, reverse stock split or otherwise) one or more classes of its outstanding shares of Common Stock into a smaller number of shares, the Conversion Price in effect immediately prior to such combination will be proportionately increased. Any adjustment pursuant to this Section 4.1 shall become effective immediately after the effective date of such subdivision or combination. If any event requiring an adjustment under this Section 4.1 occurs during the period that a Conversion Price is calculated hereunder, then the calculation of such Conversion Price shall be adjusted appropriately to reflect such event.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Failure or Indulgency Not Waiver</w:t>
      </w:r>
      <w:r>
        <w:rPr>
          <w:rFonts w:ascii="Times New Roman" w:cs="Times New Roman" w:eastAsia="Times New Roman" w:hAnsi="Times New Roman"/>
          <w:sz w:val="18"/>
          <w:szCs w:val="18"/>
          <w:color w:val="auto"/>
        </w:rPr>
        <w:t>. No failure or delay on the part of Holder hereof in the exercise of any power, right or privilege hereunder shall operate as a waiver thereof, nor shall any single or partial exercise of any such power, right or privilege preclude other or further exercise thereof or of any other right, power or privilege. All rights and remedies existing hereunder are cumulative to, and not exclusive of, any rights or remedies otherwise available.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given or made hereunder shall be in writing and shall be deemed delivered the day such notice is delivered by personal service or mailed by overnight courier to the party to receive the same at its last known address or to such other address as either party shall hereafter give to the other by notice duly made under this Section 4.3.</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Note shall only be amended by a writing signed by both parties hereto.</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The Borrower may not assign the rights and obligations under this Note to a third party without the prior written consent of the Holder. The Holder may assign its rights hereunder without the prior consent of the Borrower. This Note shall be binding upon the Borrower and its successors and assigns, and shall inure to the benefit of the Holder and its successors and assigns.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Note has been executed in and shall be governed by the internal laws of the State of Israel, without regard to the principles of conflict of laws.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Note to be signed in its name by its duly authorized officer on this ____ day of ________.</w:t>
      </w:r>
    </w:p>
    <w:p>
      <w:pPr>
        <w:spacing w:after="0" w:line="26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4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8890</wp:posOffset>
            </wp:positionV>
            <wp:extent cx="26060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6040" cy="17145"/>
                    </a:xfrm>
                    <a:prstGeom prst="rect">
                      <a:avLst/>
                    </a:prstGeom>
                    <a:noFill/>
                  </pic:spPr>
                </pic:pic>
              </a:graphicData>
            </a:graphic>
          </wp:anchor>
        </w:drawing>
      </w:r>
    </w:p>
    <w:p>
      <w:pPr>
        <w:spacing w:after="0" w:line="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480"/>
        <w:spacing w:after="0"/>
        <w:tabs>
          <w:tab w:leader="none" w:pos="70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MANDRAGOLA LTD.</w:t>
      </w:r>
    </w:p>
    <w:p>
      <w:pPr>
        <w:spacing w:after="0" w:line="24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8890</wp:posOffset>
            </wp:positionV>
            <wp:extent cx="26060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6040" cy="1714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980" w:top="337" w:right="4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GRID for PROMISSORY NOTE</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5600" w:type="dxa"/>
            <w:vAlign w:val="bottom"/>
            <w:tcBorders>
              <w:top w:val="single" w:sz="8" w:color="auto"/>
              <w:bottom w:val="single" w:sz="8" w:color="auto"/>
              <w:right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Amount Advanced</w:t>
            </w:r>
          </w:p>
        </w:tc>
      </w:tr>
      <w:tr>
        <w:trPr>
          <w:trHeight w:val="209"/>
        </w:trPr>
        <w:tc>
          <w:tcPr>
            <w:tcW w:w="5640" w:type="dxa"/>
            <w:vAlign w:val="bottom"/>
            <w:tcBorders>
              <w:left w:val="single" w:sz="8" w:color="auto"/>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r>
      <w:tr>
        <w:trPr>
          <w:trHeight w:val="209"/>
        </w:trPr>
        <w:tc>
          <w:tcPr>
            <w:tcW w:w="5640" w:type="dxa"/>
            <w:vAlign w:val="bottom"/>
            <w:tcBorders>
              <w:left w:val="single" w:sz="8" w:color="auto"/>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r>
      <w:tr>
        <w:trPr>
          <w:trHeight w:val="210"/>
        </w:trPr>
        <w:tc>
          <w:tcPr>
            <w:tcW w:w="5640" w:type="dxa"/>
            <w:vAlign w:val="bottom"/>
            <w:tcBorders>
              <w:left w:val="single" w:sz="8" w:color="auto"/>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r>
      <w:tr>
        <w:trPr>
          <w:trHeight w:val="209"/>
        </w:trPr>
        <w:tc>
          <w:tcPr>
            <w:tcW w:w="5640" w:type="dxa"/>
            <w:vAlign w:val="bottom"/>
            <w:tcBorders>
              <w:left w:val="single" w:sz="8" w:color="auto"/>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r>
      <w:tr>
        <w:trPr>
          <w:trHeight w:val="209"/>
        </w:trPr>
        <w:tc>
          <w:tcPr>
            <w:tcW w:w="5640" w:type="dxa"/>
            <w:vAlign w:val="bottom"/>
            <w:tcBorders>
              <w:left w:val="single" w:sz="8" w:color="auto"/>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r>
      <w:tr>
        <w:trPr>
          <w:trHeight w:val="210"/>
        </w:trPr>
        <w:tc>
          <w:tcPr>
            <w:tcW w:w="5640" w:type="dxa"/>
            <w:vAlign w:val="bottom"/>
            <w:tcBorders>
              <w:left w:val="single" w:sz="8" w:color="auto"/>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 Shares: 2,000,000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May 13, 2026 (“</w:t>
      </w:r>
      <w:r>
        <w:rPr>
          <w:rFonts w:ascii="Times New Roman" w:cs="Times New Roman" w:eastAsia="Times New Roman" w:hAnsi="Times New Roman"/>
          <w:sz w:val="18"/>
          <w:szCs w:val="18"/>
          <w:b w:val="1"/>
          <w:bCs w:val="1"/>
          <w:color w:val="auto"/>
        </w:rPr>
        <w:t>Issuance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BIOMX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MANDRAGOLA LTD., the registered holder hereof or its permitted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or times on or after the Issuance Date, but not after 11:59 p.m., New York time, on the Expiration Date (as defined below), (subject to adjustment as provided herein) fully paid and nonassessable shares of Common Stock (as defined below)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Except as otherwise defined herein, capitalized terms in this Warrant shall have the meanings set forth in Section 16. This Warrant is the Warrants to purchase Common Stock issued to Holder pursuant to that certain Agreement dated May 13, 2026 by and between the Company and the Holder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1" w:lineRule="auto"/>
        <w:tabs>
          <w:tab w:leader="none" w:pos="2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 xml:space="preserve">. Subject to the terms and conditions hereof (including, without limitation, the limitations set forth in Section 1(f)), this Warrant may be exercised by the Holder on any day on or after the Issuance Date in whole or in part, by delivery (whether via facsimile or otherwise) of a written notice, in the form attached hereto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(in respect of such specific exercise, the “</w:t>
      </w:r>
      <w:r>
        <w:rPr>
          <w:rFonts w:ascii="Times New Roman" w:cs="Times New Roman" w:eastAsia="Times New Roman" w:hAnsi="Times New Roman"/>
          <w:sz w:val="18"/>
          <w:szCs w:val="18"/>
          <w:b w:val="1"/>
          <w:bCs w:val="1"/>
          <w:color w:val="auto"/>
        </w:rPr>
        <w:t>Aggregate Exercise Price</w:t>
      </w:r>
      <w:r>
        <w:rPr>
          <w:rFonts w:ascii="Times New Roman" w:cs="Times New Roman" w:eastAsia="Times New Roman" w:hAnsi="Times New Roman"/>
          <w:sz w:val="18"/>
          <w:szCs w:val="18"/>
          <w:color w:val="auto"/>
        </w:rPr>
        <w:t xml:space="preserve">”) in cash or via wire transfer of immediately available funds if the Holder did not notify the Company in such Exercise Notice that such exercise was 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certificate and issuance of a new Warrant certificate evidencing the right to purchase the remaining number of Warrant Shares. Execution and delivery of an Exercise Notice for all of the then-remaining Warrant Shares shall have the same effect as cancellation of the original of this Warrant certificate after delivery of the Warrant Shares in accordance with the terms hereof. On or before the first (1st) Trading Day following the date on which the Company has received an Exercise Notice, the Company shall transmit by facsimile an acknowledgment of confirmation of receipt of such Exercise Notice,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to the Holder and the Company’s transfer agent (the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On or before the first (1st) Trading Day following the date on which the Company has received such Exercise Notice (the “</w:t>
      </w:r>
      <w:r>
        <w:rPr>
          <w:rFonts w:ascii="Times New Roman" w:cs="Times New Roman" w:eastAsia="Times New Roman" w:hAnsi="Times New Roman"/>
          <w:sz w:val="18"/>
          <w:szCs w:val="18"/>
          <w:b w:val="1"/>
          <w:bCs w:val="1"/>
          <w:color w:val="auto"/>
        </w:rPr>
        <w:t>Required Delivery Date</w:t>
      </w:r>
      <w:r>
        <w:rPr>
          <w:rFonts w:ascii="Times New Roman" w:cs="Times New Roman" w:eastAsia="Times New Roman" w:hAnsi="Times New Roman"/>
          <w:sz w:val="18"/>
          <w:szCs w:val="18"/>
          <w:color w:val="auto"/>
        </w:rPr>
        <w:t>”), the Company shall, upon the request of the Holder, credit such aggregate number of shares of Common Stock to which the Holder is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such exercise to the Holder’s or its designee’s balance account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Withdrawal at Custodian system.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If this Warrant is submitted in connection with any exercise pursuant to this Section 1(a) and the number of Warrant Shares represented by this Warrant is greater than the number of Warrant Shares being acquired upon an exercise, then, at the request of the Holder and upon surrender hereof by the Holder at the principal office of the Company, the Company shall as soon as practicable and in no event later than three (3) 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For purposes of this Warrant,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means $12.00, subject to adjustment as provided herein.</w:t>
      </w:r>
    </w:p>
    <w:p>
      <w:pPr>
        <w:spacing w:after="0" w:line="229" w:lineRule="exact"/>
        <w:rPr>
          <w:rFonts w:ascii="Times New Roman" w:cs="Times New Roman" w:eastAsia="Times New Roman" w:hAnsi="Times New Roman"/>
          <w:sz w:val="18"/>
          <w:szCs w:val="18"/>
          <w:color w:val="auto"/>
        </w:rPr>
      </w:pPr>
    </w:p>
    <w:p>
      <w:pPr>
        <w:jc w:val="both"/>
        <w:ind w:firstLine="8"/>
        <w:spacing w:after="0" w:line="266" w:lineRule="auto"/>
        <w:tabs>
          <w:tab w:leader="none" w:pos="2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w:t>
      </w:r>
      <w:r>
        <w:rPr>
          <w:rFonts w:ascii="Times New Roman" w:cs="Times New Roman" w:eastAsia="Times New Roman" w:hAnsi="Times New Roman"/>
          <w:sz w:val="18"/>
          <w:szCs w:val="18"/>
          <w:color w:val="auto"/>
        </w:rPr>
        <w:t>y</w:t>
      </w:r>
      <w:r>
        <w:rPr>
          <w:rFonts w:ascii="Times New Roman" w:cs="Times New Roman" w:eastAsia="Times New Roman" w:hAnsi="Times New Roman"/>
          <w:sz w:val="18"/>
          <w:szCs w:val="18"/>
          <w:u w:val="single" w:color="auto"/>
          <w:color w:val="auto"/>
        </w:rPr>
        <w:t>’s Failure to Time</w:t>
      </w:r>
      <w:r>
        <w:rPr>
          <w:rFonts w:ascii="Times New Roman" w:cs="Times New Roman" w:eastAsia="Times New Roman" w:hAnsi="Times New Roman"/>
          <w:sz w:val="18"/>
          <w:szCs w:val="18"/>
          <w:color w:val="auto"/>
        </w:rPr>
        <w:t xml:space="preserve">ly </w:t>
      </w:r>
      <w:r>
        <w:rPr>
          <w:rFonts w:ascii="Times New Roman" w:cs="Times New Roman" w:eastAsia="Times New Roman" w:hAnsi="Times New Roman"/>
          <w:sz w:val="18"/>
          <w:szCs w:val="18"/>
          <w:u w:val="single" w:color="auto"/>
          <w:color w:val="auto"/>
        </w:rPr>
        <w:t>Deliver Securities</w:t>
      </w:r>
      <w:r>
        <w:rPr>
          <w:rFonts w:ascii="Times New Roman" w:cs="Times New Roman" w:eastAsia="Times New Roman" w:hAnsi="Times New Roman"/>
          <w:sz w:val="18"/>
          <w:szCs w:val="18"/>
          <w:color w:val="auto"/>
        </w:rPr>
        <w:t>. If the Company fails to issue and credit the balance account of Holder or Holder’s nominee with DTC for such number of Warrant Shares for which this Warrant is exercised by the Holder, then, in addition to all other remedies available to Holder, at the sole discretion of Holder, the Company shall:</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in cash to Holder on each Trading Day after the Required Delivery Date that the issuance and credit of such Warrant Shares is not timely effected an amount equal to 5% of the product of (A) the number of shares of Common Stock not so credited to Holder or Holder’s nominee multiplied by (B) the Closing Sale Price of the Common Stock on the Trading Day immediately preceding the Required Delivery Date; or</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or after the Required Delivery Date, Holder (or any other Person in respect, or on behalf, of Holder) purchases (in an open market transaction or otherwise) Common Stock (“</w:t>
      </w:r>
      <w:r>
        <w:rPr>
          <w:rFonts w:ascii="Times New Roman" w:cs="Times New Roman" w:eastAsia="Times New Roman" w:hAnsi="Times New Roman"/>
          <w:sz w:val="18"/>
          <w:szCs w:val="18"/>
          <w:b w:val="1"/>
          <w:bCs w:val="1"/>
          <w:color w:val="auto"/>
        </w:rPr>
        <w:t>Replacement Shares</w:t>
      </w:r>
      <w:r>
        <w:rPr>
          <w:rFonts w:ascii="Times New Roman" w:cs="Times New Roman" w:eastAsia="Times New Roman" w:hAnsi="Times New Roman"/>
          <w:sz w:val="18"/>
          <w:szCs w:val="18"/>
          <w:color w:val="auto"/>
        </w:rPr>
        <w:t>”) to deliver in satisfaction of a sale by Holder of all or any portion of the number of shares of Common Stock, or a sale of a number of shares of Common Stock equal to all or any portion of the number of shares of Common Stock, that Holder so anticipated receiving from the Company without any restrictive legend, then, within five (5) Trading Days after Holder’s request and in Holder’s sole discretion, either (A) pay cash to Holder in an amount equal to Holder’s total purchase price (including brokerage commissions and other out-of-pocket expenses, if any) for the Replacement Shares (the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at which point the Company’s obligation to so credit Holder’s balance account shall terminate and such shares shall be cancelled,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 promptly honor its obligation to so credit Holder’s DTC account representing such number of shares of Common Stock that would have been so delivered if the Company timely complied with its obligations hereunder and pay cash to Holder in an amount equal to the excess (if any) of the Buy-In Price over the product of (1) such number of shares of Common Stock that the Company was required to deliver to Holder by the Required Delivery Date multiplied by (2) the lowest Closing Sale Price of the Common Stock on any Trading Day during the period commencing on the date Holder purchased Replacement Shares and ending on the date of such delivery and payment under this clause (ii).</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extent permitted by law, the Company’s obligations to issue and deliver the Common Stock upon exercise of the Warrant in accordance with the terms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the Common Stock. Nothing herein shall limit the Holder’s right to pursue any other remedies available to it hereunder, at law or in equity including, without limitation, a decree of specific performance and/or injunctive relief with respect to the Company’s failure to timely deliver the Common Stock issuable upon exercise of this Warrant as required pursuant to the terms 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8"/>
        <w:spacing w:after="0" w:line="258" w:lineRule="auto"/>
        <w:tabs>
          <w:tab w:leader="none" w:pos="2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contained herein to the contrary (other than Section 1(f) below) at any time the Holder may in its sole discretion (and without limiting the Holder’s rights and remedies contained herein or in any of the other Transaction Documents (as defined in the Securities Purchase Agreement)),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Number = (A x B) /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foregoing formulas: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The total number of shares with respect to which this Warrant is then being exercised.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 The Black Scholes Value (as defined in Section 16 herein).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 = The lower of the two Closing Bid Prices of the Common Stock in the two days prior the time of such exercise (as such Closing Bid Price is defined in Section 16 herein), but in any event not less than $0.01 (as may be adjusted for stock dividends, subdivisions, or combinations in the manner described in Section 2(a) herein).</w:t>
      </w:r>
    </w:p>
    <w:p>
      <w:pPr>
        <w:spacing w:after="0" w:line="176" w:lineRule="exact"/>
        <w:rPr>
          <w:sz w:val="20"/>
          <w:szCs w:val="20"/>
          <w:color w:val="auto"/>
        </w:rPr>
      </w:pPr>
    </w:p>
    <w:p>
      <w:pPr>
        <w:jc w:val="both"/>
        <w:ind w:firstLine="8"/>
        <w:spacing w:after="0" w:line="266" w:lineRule="auto"/>
        <w:tabs>
          <w:tab w:leader="none" w:pos="2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xml:space="preserve">. In the case of a dispute as to the determination of the Exercise Price or the arithmetic calculation of the number of Warrant Shares to be issued pursuant to the terms hereof (including, without limitation, the Net Number), the Company shall promptly issue to the Holder the number of Warrant Shares that are not disputed,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following such issuance to Holder such dispute shall be resolved in accordance with Section 13.</w:t>
      </w:r>
    </w:p>
    <w:p>
      <w:pPr>
        <w:spacing w:after="0" w:line="175" w:lineRule="exact"/>
        <w:rPr>
          <w:rFonts w:ascii="Times New Roman" w:cs="Times New Roman" w:eastAsia="Times New Roman" w:hAnsi="Times New Roman"/>
          <w:sz w:val="18"/>
          <w:szCs w:val="18"/>
          <w:color w:val="auto"/>
        </w:rPr>
      </w:pPr>
    </w:p>
    <w:p>
      <w:pPr>
        <w:jc w:val="both"/>
        <w:ind w:firstLine="8"/>
        <w:spacing w:after="0" w:line="252" w:lineRule="auto"/>
        <w:tabs>
          <w:tab w:leader="none" w:pos="2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Exercises and Exchan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es</w:t>
      </w:r>
      <w:r>
        <w:rPr>
          <w:rFonts w:ascii="Times New Roman" w:cs="Times New Roman" w:eastAsia="Times New Roman" w:hAnsi="Times New Roman"/>
          <w:sz w:val="18"/>
          <w:szCs w:val="18"/>
          <w:color w:val="auto"/>
        </w:rPr>
        <w:t>. Notwithstanding anything to the contrary contained in this Warrant, this Warrant shall not be exercisable or exchangeable by the Holder hereof to the extent (but only to the extent) that the Holder or any of its affiliates would beneficially own in excess of 4.99% of the number of shares of Common Stock outstanding after giving effect to the issuance of Common Stock issuable upon exercise of the Warrants calculated in accordance with Section 13(d) of the Exchange Act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To the extent the above limitation applies, the determination of whether this Warrant shall be exercisable or exchangeable (vis-à-vis other convertible, exercisable or exchangeable securities owned by the Holder or any of its affiliates) and of which such securities shall be exercisable or exchangeable (as among all such securities owned by the Holder) shall, subject to such Maximum Percentage limitation, be determined on the basis of the first submission to the Company for conversion, exercise or exchange (as the case may be). No prior inability to exercise or exchange this Warrant pursuant to this paragraph shall have any effect on the applicability of the provisions of this paragraph with respect to any subsequent determination of exercisability or exchangeability.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two (2) Business Days confirm orally and in writing to the Holder the number of shares of Common Stock then outstanding, including by virtue of any prior conversion or exercise or exchange of convertible or exercisable or exchangeable securities into shares of Common Stock, including, without limitation, pursuant to this Warrant or securities issued pursuant to the Securities Purchase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8"/>
        <w:spacing w:after="0" w:line="261"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 Insufficient Authorized Shares</w:t>
      </w:r>
      <w:r>
        <w:rPr>
          <w:rFonts w:ascii="Times New Roman" w:cs="Times New Roman" w:eastAsia="Times New Roman" w:hAnsi="Times New Roman"/>
          <w:sz w:val="18"/>
          <w:szCs w:val="18"/>
          <w:color w:val="auto"/>
        </w:rPr>
        <w:t>. The Company shall initially reserve out of its authorized and unissued shares of Common Stock a number of shares of Common Stock equal to 150% of the maximum number of Warrant Shares issuable to satisfy the Company’s obligations to issue shares of Common Stock hereunder, and the Company shall at all times keep reserved for issuance under this Warrant a number of shares of Common Stock equal to 250% of the maximum number of Warrant Shares issuable to satisfy the Company’s obligation to issue shares of Common Stock hereunder.</w:t>
      </w:r>
    </w:p>
    <w:p>
      <w:pPr>
        <w:spacing w:after="0" w:line="179" w:lineRule="exact"/>
        <w:rPr>
          <w:rFonts w:ascii="Times New Roman" w:cs="Times New Roman" w:eastAsia="Times New Roman" w:hAnsi="Times New Roman"/>
          <w:sz w:val="18"/>
          <w:szCs w:val="18"/>
          <w:color w:val="auto"/>
        </w:rPr>
      </w:pPr>
    </w:p>
    <w:p>
      <w:pPr>
        <w:jc w:val="both"/>
        <w:ind w:firstLine="8"/>
        <w:spacing w:after="0" w:line="252"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Activi</w:t>
      </w:r>
      <w:r>
        <w:rPr>
          <w:rFonts w:ascii="Times New Roman" w:cs="Times New Roman" w:eastAsia="Times New Roman" w:hAnsi="Times New Roman"/>
          <w:sz w:val="18"/>
          <w:szCs w:val="18"/>
          <w:color w:val="auto"/>
        </w:rPr>
        <w:t xml:space="preserve">ty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xml:space="preserve">. For so long as Holder holds this Warrant or any Warrant Shares, Holder will not: (i) engage or participate in any actions, plans or proposals which relate to or would result in (a) acquiring additional securities of the Company, alone or together with any other Person, which would result in beneficially owning or controlling, or being deemed to beneficially own or control, more than 4.99% of the total outstanding shares of Common Stock or other voting securities of the Company, (b) an extraordinary corporate transaction, such as a merger, reorganization or liquidation, involving Company, (c) a sale or transfer of a material amount of assets of the Company, (d) any change in the present board of directors or management of the Company, including any plans or proposals to change the number or term of directors or to fill any existing vacancies on the board, (e) any material change in the present capitalization or dividend policy of the Company, (f) any other material change in the Company’s business or corporate structure, including but not limited to, if the Company is a registered closed-end investment company, any plans or proposals to make any changes in its investment policy for which a vote is required by Section 13 of the Investment Company Act of 1940, (g) changes in the Company’s charter, bylaws or instruments corresponding thereto or other actions which may impede the acquisition of control of the Company by any Person, (h) causing a class of securities of the Company to be delisted from a national securities exchange or to cease to be authorized to be quoted in an inter-dealer quotation system of a registered national securities association, (i) a class of equity securities of the Company becoming eligible for termination of registration pursuant to Section 12(g)(4) of the Act, or (j) any action, intention, plan or arrangement similar to any of those enumerated above, or (ii) request the Company or its directors, officers, employees, agents or representatives to amend or waive any provision of this Section 1(h);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notwithstanding anything to the contrary contain in clauses (i) and (ii) above, Holder may vote any shares of Common Stock owned or controlled by it, solicit any proxies, or seek to advise or influence any Person with respect to any voting securities of the Company. Holder may only exercise this Warrant for a cash exercise price if the trading price at the time of exercise is greater than the then applicable Exercise Price.</w:t>
      </w:r>
    </w:p>
    <w:p>
      <w:pPr>
        <w:spacing w:after="0" w:line="193" w:lineRule="exact"/>
        <w:rPr>
          <w:sz w:val="20"/>
          <w:szCs w:val="20"/>
          <w:color w:val="auto"/>
        </w:rPr>
      </w:pPr>
    </w:p>
    <w:p>
      <w:pPr>
        <w:ind w:firstLine="8"/>
        <w:spacing w:after="0" w:line="282" w:lineRule="auto"/>
        <w:tabs>
          <w:tab w:leader="none" w:pos="1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OF EXERCISE PRICE AND NUMBER OF WARRANT SHARES. The Exercise Price and number of Warrant Shares issuable upon exercise of this Warrant are subject to adjustment from time to time as set forth in this Section 2.</w:t>
      </w:r>
    </w:p>
    <w:p>
      <w:pPr>
        <w:spacing w:after="0" w:line="162" w:lineRule="exact"/>
        <w:rPr>
          <w:sz w:val="20"/>
          <w:szCs w:val="20"/>
          <w:color w:val="auto"/>
        </w:rPr>
      </w:pPr>
    </w:p>
    <w:p>
      <w:pPr>
        <w:jc w:val="both"/>
        <w:ind w:firstLine="8"/>
        <w:spacing w:after="0" w:line="253" w:lineRule="auto"/>
        <w:tabs>
          <w:tab w:leader="none" w:pos="2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Without limiting any provision of Section 4, if the Company, at any time on or after the date of the Securities Purchase Agreement, (i) pays a stock dividend on one or more classes of its then outstanding shares of Common Stock or otherwise makes a distribution on any class of capital stock that is payable in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shareholders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8"/>
        <w:spacing w:after="0" w:line="254" w:lineRule="auto"/>
        <w:tabs>
          <w:tab w:leader="none" w:pos="2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xml:space="preserve">. In the event that the Company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no such adjustment pursuant to this Section 2(e) will increase the Exercise Price or decrease the number of Warrant Shares as otherwise determined pursuant to this Section 2,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i w:val="1"/>
          <w:iCs w:val="1"/>
          <w:u w:val="single" w:color="auto"/>
          <w:color w:val="auto"/>
        </w:rPr>
        <w:t>urther</w:t>
      </w:r>
      <w:r>
        <w:rPr>
          <w:rFonts w:ascii="Times New Roman" w:cs="Times New Roman" w:eastAsia="Times New Roman" w:hAnsi="Times New Roman"/>
          <w:sz w:val="18"/>
          <w:szCs w:val="18"/>
          <w:color w:val="auto"/>
        </w:rPr>
        <w:t xml:space="preserve">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and whose fees and expenses shall be borne by the Company.</w:t>
      </w:r>
    </w:p>
    <w:p>
      <w:pPr>
        <w:spacing w:after="0" w:line="188" w:lineRule="exact"/>
        <w:rPr>
          <w:sz w:val="20"/>
          <w:szCs w:val="20"/>
          <w:color w:val="auto"/>
        </w:rPr>
      </w:pPr>
    </w:p>
    <w:p>
      <w:pPr>
        <w:jc w:val="both"/>
        <w:ind w:firstLine="8"/>
        <w:spacing w:after="0" w:line="253"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DISTRIBUTION OF ASSETS</w:t>
      </w:r>
      <w:r>
        <w:rPr>
          <w:rFonts w:ascii="Times New Roman" w:cs="Times New Roman" w:eastAsia="Times New Roman" w:hAnsi="Times New Roman"/>
          <w:sz w:val="18"/>
          <w:szCs w:val="18"/>
          <w:color w:val="auto"/>
        </w:rPr>
        <w:t>. In addition to any adjustments pursuant to Section 2 above, if the Company shall declare or make any dividend or other distribution of its assets (or rights to acquire its assets) to holders of Common Stock, by way of return of capital or otherwise (including, without limitation, any distribution of cash, stock or other securities, indebtedness, property or options by way of a dividend, spin off, reclassification, corporate rearrangement, scheme of arrangement or other similar transaction, other than a distribution of Common Stock covered by Section 2(a))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at any time after the issuance of this Warrant, then, in each such case, provision shall be made so that upon exercise of this Warrant,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Common Stock are to be determined for the participation in such Distribution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to the extent that the Holder’s right to participate in any such Distributions would result in the Holder exceeding the Maximum Percentage, then the Holder shall not be entitled to participate in such Distribution to such extent (or the beneficial ownership of any such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 FUNDAMENTAL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3" w:lineRule="auto"/>
        <w:tabs>
          <w:tab w:leader="none" w:pos="2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w:t>
      </w:r>
      <w:r>
        <w:rPr>
          <w:rFonts w:ascii="Times New Roman" w:cs="Times New Roman" w:eastAsia="Times New Roman" w:hAnsi="Times New Roman"/>
          <w:sz w:val="18"/>
          <w:szCs w:val="18"/>
          <w:color w:val="auto"/>
        </w:rPr>
        <w:t>ig</w:t>
      </w:r>
      <w:r>
        <w:rPr>
          <w:rFonts w:ascii="Times New Roman" w:cs="Times New Roman" w:eastAsia="Times New Roman" w:hAnsi="Times New Roman"/>
          <w:sz w:val="18"/>
          <w:szCs w:val="18"/>
          <w:u w:val="single" w:color="auto"/>
          <w:color w:val="auto"/>
        </w:rPr>
        <w:t>hts</w:t>
      </w:r>
      <w:r>
        <w:rPr>
          <w:rFonts w:ascii="Times New Roman" w:cs="Times New Roman" w:eastAsia="Times New Roman" w:hAnsi="Times New Roman"/>
          <w:sz w:val="18"/>
          <w:szCs w:val="18"/>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Common Stock (the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Common Stock are to be determined for the grant, issue or sale of such Purchase Rights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to the extent that the Holder’s right to participate in any such Purchase Right would result in the Holder exceeding the Maximum Percentage, then the Holder shall not be entitled to participate in such Purchase Right to such extent (or beneficial ownership of such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194" w:lineRule="exact"/>
        <w:rPr>
          <w:rFonts w:ascii="Times New Roman" w:cs="Times New Roman" w:eastAsia="Times New Roman" w:hAnsi="Times New Roman"/>
          <w:sz w:val="18"/>
          <w:szCs w:val="18"/>
          <w:color w:val="auto"/>
        </w:rPr>
      </w:pPr>
    </w:p>
    <w:p>
      <w:pPr>
        <w:jc w:val="both"/>
        <w:ind w:firstLine="8"/>
        <w:spacing w:after="0" w:line="25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The Company shall not enter into or be party to a Fundamental Transaction unless the Successor Entity assumes in writing all of the obligations of the Company under this Warrant and the other Transaction Documents related to this Warrant in accordance with the provisions of this Section 4(b) pursuant to written agreements in form and substance reasonably satisfactory to the Holder, including agreements confirming the obligations of the Successor Entity as set forth in this paragraph (b) and (c) and elsewhere in this Warrant and an obligation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Notwithstanding the foregoing, at the election of the Holder upon exercise of this Warrant following a Fundamental Transaction, the Successor Entity shall deliver to the Holder, in lieu of the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common stock (or its equivalent) of the Successor Entity (including its Parent Entity), or other securities, cash, assets or other property, which the Holder would have been entitled to receive upon the happening of the applicable Fundamental Transaction had this Warrant been exercised immediately prior to the applicable Fundamental Transaction;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such amount of reserved shares of Common Stock shall be limited by the Maximum Percentage of Common Stock as set forth in Section 1(f).</w:t>
      </w:r>
    </w:p>
    <w:p>
      <w:pPr>
        <w:spacing w:after="0" w:line="193" w:lineRule="exact"/>
        <w:rPr>
          <w:rFonts w:ascii="Times New Roman" w:cs="Times New Roman" w:eastAsia="Times New Roman" w:hAnsi="Times New Roman"/>
          <w:sz w:val="18"/>
          <w:szCs w:val="18"/>
          <w:color w:val="auto"/>
        </w:rPr>
      </w:pPr>
    </w:p>
    <w:p>
      <w:pPr>
        <w:jc w:val="both"/>
        <w:ind w:firstLine="8"/>
        <w:spacing w:after="0" w:line="256" w:lineRule="auto"/>
        <w:tabs>
          <w:tab w:leader="none" w:pos="2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 Scholes Value – FT</w:t>
      </w:r>
      <w:r>
        <w:rPr>
          <w:rFonts w:ascii="Times New Roman" w:cs="Times New Roman" w:eastAsia="Times New Roman" w:hAnsi="Times New Roman"/>
          <w:sz w:val="18"/>
          <w:szCs w:val="18"/>
          <w:color w:val="auto"/>
        </w:rPr>
        <w:t>. Notwithstanding the foregoing and the provisions of Section 4(b) above, at the request of the Holder delivered at any time commencing on the earliest to occur of (i) the public disclosure of any Fundamental Transaction, (ii) the consummation of any Fundamental Transaction and (iii) the Holder first becoming aware of any Fundamental Transaction through the date that is ninety (90) days after the public disclosure of the consummation of such Fundamental Transaction, the Company or the Successor Entity, at the election of the Holder, shall purchase this Warrant from the Holder on the date of the consummation of such Fundamental Transaction by paying to the Holder cash in an amount equal to the Black Scholes Value – FT.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8"/>
        <w:spacing w:after="0" w:line="261"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w:t>
      </w: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u w:val="single" w:color="auto"/>
          <w:color w:val="auto"/>
        </w:rPr>
        <w:t>lication</w:t>
      </w:r>
      <w:r>
        <w:rPr>
          <w:rFonts w:ascii="Times New Roman" w:cs="Times New Roman" w:eastAsia="Times New Roman" w:hAnsi="Times New Roman"/>
          <w:sz w:val="18"/>
          <w:szCs w:val="18"/>
          <w:color w:val="auto"/>
        </w:rPr>
        <w:t>. The provisions of this Section 4 shall apply similarly and equally to successive Fundamental Transactions and shall be applied as if this Warrant (and any such subsequent warrants issued hereunder) were fully exercisable and without regard to any limitations on the exercise of this Warrant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Holder shall continue to be entitled to the benefit of the Maximum Percentage, applied however with respect to shares of capital stock registered under the 1934 Act and thereafter receivable upon exercise of this Warrant (or any such other warrant)).</w:t>
      </w:r>
    </w:p>
    <w:p>
      <w:pPr>
        <w:spacing w:after="0" w:line="180" w:lineRule="exact"/>
        <w:rPr>
          <w:sz w:val="20"/>
          <w:szCs w:val="20"/>
          <w:color w:val="auto"/>
        </w:rPr>
      </w:pPr>
    </w:p>
    <w:p>
      <w:pPr>
        <w:jc w:val="both"/>
        <w:ind w:firstLine="8"/>
        <w:spacing w:after="0" w:line="258" w:lineRule="auto"/>
        <w:tabs>
          <w:tab w:leader="none" w:pos="1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certificate of incorporation, bylaws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w:t>
      </w:r>
    </w:p>
    <w:p>
      <w:pPr>
        <w:spacing w:after="0" w:line="183"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increase the par value of any Common Stock receivable upon the exercise of this Warrant above the Exercise Price then in effect,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(ii) shall take all such actions as may be necessary or appropriate in order that the Company may validly and legally issue fully paid and non-assessable shares of Common Stock upon the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such amount of reserved Common Stock shall be limited by the Maximum Percentage of Common Stock as set forth in Section 1(f).</w:t>
      </w:r>
    </w:p>
    <w:p>
      <w:pPr>
        <w:spacing w:after="0" w:line="187" w:lineRule="exact"/>
        <w:rPr>
          <w:rFonts w:ascii="Times New Roman" w:cs="Times New Roman" w:eastAsia="Times New Roman" w:hAnsi="Times New Roman"/>
          <w:sz w:val="18"/>
          <w:szCs w:val="18"/>
          <w:color w:val="auto"/>
        </w:rPr>
      </w:pPr>
    </w:p>
    <w:p>
      <w:pPr>
        <w:jc w:val="both"/>
        <w:ind w:firstLine="8"/>
        <w:spacing w:after="0" w:line="253" w:lineRule="auto"/>
        <w:tabs>
          <w:tab w:leader="none" w:pos="19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HOLDER NOT DEEMED A SHAREHOLDER</w:t>
      </w:r>
      <w:r>
        <w:rPr>
          <w:rFonts w:ascii="Times New Roman" w:cs="Times New Roman" w:eastAsia="Times New Roman" w:hAnsi="Times New Roman"/>
          <w:sz w:val="18"/>
          <w:szCs w:val="18"/>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shareholder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shareholder of the Company, whether such liabilities are asserted by the Company or by creditors of the Company. Notwithstanding this Section 6, the Company shall provide the Holder with copies of the same notices and other information given to the shareholders of the Company generally, contemporaneously with the giving thereof to the shareholders.</w:t>
      </w:r>
    </w:p>
    <w:p>
      <w:pPr>
        <w:spacing w:after="0" w:line="19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3" w:lineRule="auto"/>
        <w:tabs>
          <w:tab w:leader="none" w:pos="2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provide to the Company an opinion of counsel selected by the Holder and reasonably acceptable to the Company, the form and substance of which opinion shall be reasonably satisfactory to the Company, to the effect that such transfer does not require registration of such transferred securities under the Securities 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8"/>
        <w:spacing w:after="0" w:line="258"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Warrant</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83" w:lineRule="exact"/>
        <w:rPr>
          <w:rFonts w:ascii="Times New Roman" w:cs="Times New Roman" w:eastAsia="Times New Roman" w:hAnsi="Times New Roman"/>
          <w:sz w:val="18"/>
          <w:szCs w:val="18"/>
          <w:color w:val="auto"/>
        </w:rPr>
      </w:pPr>
    </w:p>
    <w:p>
      <w:pPr>
        <w:jc w:val="both"/>
        <w:ind w:firstLine="8"/>
        <w:spacing w:after="0" w:line="261" w:lineRule="auto"/>
        <w:tabs>
          <w:tab w:leader="none" w:pos="2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eable for Multiple Warrants</w:t>
      </w:r>
      <w:r>
        <w:rPr>
          <w:rFonts w:ascii="Times New Roman" w:cs="Times New Roman" w:eastAsia="Times New Roman" w:hAnsi="Times New Roman"/>
          <w:sz w:val="18"/>
          <w:szCs w:val="18"/>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no warrants for fractional share of Common Stock shall be given.</w:t>
      </w:r>
    </w:p>
    <w:p>
      <w:pPr>
        <w:spacing w:after="0" w:line="179" w:lineRule="exact"/>
        <w:rPr>
          <w:rFonts w:ascii="Times New Roman" w:cs="Times New Roman" w:eastAsia="Times New Roman" w:hAnsi="Times New Roman"/>
          <w:sz w:val="18"/>
          <w:szCs w:val="18"/>
          <w:color w:val="auto"/>
        </w:rPr>
      </w:pPr>
    </w:p>
    <w:p>
      <w:pPr>
        <w:jc w:val="both"/>
        <w:ind w:firstLine="8"/>
        <w:spacing w:after="0" w:line="256"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Warrants</w:t>
      </w:r>
      <w:r>
        <w:rPr>
          <w:rFonts w:ascii="Times New Roman" w:cs="Times New Roman" w:eastAsia="Times New Roman" w:hAnsi="Times New Roman"/>
          <w:sz w:val="18"/>
          <w:szCs w:val="18"/>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87" w:lineRule="exact"/>
        <w:rPr>
          <w:sz w:val="20"/>
          <w:szCs w:val="20"/>
          <w:color w:val="auto"/>
        </w:rPr>
      </w:pPr>
    </w:p>
    <w:p>
      <w:pPr>
        <w:jc w:val="both"/>
        <w:ind w:firstLine="8"/>
        <w:spacing w:after="0" w:line="253"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unless otherwise provided herein, such notice shall be given in accordance with Section 10(f)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as soon as practicable upon each adjustment of the Exercise Price and the number of Warrant Shares, setting forth in reasonable detail, and certifying, the calculation of such adjustment(s) and (ii) at least fifteen (15) days prior to the date on which the Company closes its books or takes a record (A) with respect to any dividend or distribution upon the Common Stock, (B) with respect to any grants, issuances or sales of any Options, Convertible Securities or rights to purchase stock, warrants, securities, indebtedness, or other property pro rata to holders of Common Stock or (C) for determining rights to vote with respect to any Fundamental Transaction, dissolution or liquidation, provided in each case that such information (to the extent it constitutes, or contains, material, non-public information regarding the Company shall be made known to the public prior to or in conjunction with such notice being provided to the Holder and (iii) at least ten (10) Trading Days prior to the consummation of any Fundamental Transaction. It is expressly understood and agreed that the time of execution specified by the Holder in each Exercise Notice shall be definitive and may not be disputed or challenged by the Company.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8"/>
        <w:spacing w:after="0" w:line="261"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The Holder shall be entitled, at its option, to the benefit of any amendment of any other similar warrant issued under the Securities Purchase Agreement. No waiver shall be effective unless it is in writing and signed by an authorized representative of the waiving party.</w:t>
      </w:r>
    </w:p>
    <w:p>
      <w:pPr>
        <w:spacing w:after="0" w:line="179" w:lineRule="exact"/>
        <w:rPr>
          <w:rFonts w:ascii="Times New Roman" w:cs="Times New Roman" w:eastAsia="Times New Roman" w:hAnsi="Times New Roman"/>
          <w:sz w:val="18"/>
          <w:szCs w:val="18"/>
          <w:color w:val="auto"/>
        </w:rPr>
      </w:pPr>
    </w:p>
    <w:p>
      <w:pPr>
        <w:jc w:val="both"/>
        <w:ind w:firstLine="8"/>
        <w:spacing w:after="0" w:line="254" w:lineRule="auto"/>
        <w:tabs>
          <w:tab w:leader="none" w:pos="2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1" w:lineRule="exact"/>
        <w:rPr>
          <w:rFonts w:ascii="Times New Roman" w:cs="Times New Roman" w:eastAsia="Times New Roman" w:hAnsi="Times New Roman"/>
          <w:sz w:val="18"/>
          <w:szCs w:val="18"/>
          <w:color w:val="auto"/>
        </w:rPr>
      </w:pPr>
    </w:p>
    <w:p>
      <w:pPr>
        <w:jc w:val="both"/>
        <w:ind w:firstLine="8"/>
        <w:spacing w:after="0" w:line="252" w:lineRule="auto"/>
        <w:tabs>
          <w:tab w:leader="none" w:pos="26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Times New Roman" w:cs="Times New Roman" w:eastAsia="Times New Roman" w:hAnsi="Times New Roman"/>
          <w:sz w:val="18"/>
          <w:szCs w:val="18"/>
          <w:b w:val="1"/>
          <w:bCs w:val="1"/>
          <w:color w:val="auto"/>
        </w:rPr>
        <w:t>THE</w:t>
      </w:r>
    </w:p>
    <w:p>
      <w:pPr>
        <w:spacing w:after="0" w:line="5" w:lineRule="exact"/>
        <w:rPr>
          <w:rFonts w:ascii="Times New Roman" w:cs="Times New Roman" w:eastAsia="Times New Roman" w:hAnsi="Times New Roman"/>
          <w:sz w:val="18"/>
          <w:szCs w:val="18"/>
          <w:color w:val="auto"/>
        </w:rPr>
      </w:pPr>
    </w:p>
    <w:p>
      <w:pPr>
        <w:jc w:val="both"/>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HEREBY IRREVOCABLY WAIVES ANY RIGHT IT MAY HAVE TO, AND AGREES NOT TO REQUEST, A JURY TRIAL FOR THE ADJUDICATION OF ANY DISPUTE HEREUNDER OR IN CONNECTION WITH OR ARISING OUT OF THIS WARRANT OR ANY TRANSACTION CONTEMPLATED HEREBY.</w:t>
      </w:r>
    </w:p>
    <w:p>
      <w:pPr>
        <w:spacing w:after="0" w:line="185" w:lineRule="exact"/>
        <w:rPr>
          <w:rFonts w:ascii="Times New Roman" w:cs="Times New Roman" w:eastAsia="Times New Roman" w:hAnsi="Times New Roman"/>
          <w:sz w:val="18"/>
          <w:szCs w:val="18"/>
          <w:color w:val="auto"/>
        </w:rPr>
      </w:pPr>
    </w:p>
    <w:p>
      <w:pPr>
        <w:jc w:val="both"/>
        <w:ind w:firstLine="8"/>
        <w:spacing w:after="0" w:line="261" w:lineRule="auto"/>
        <w:tabs>
          <w:tab w:leader="none" w:pos="2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8"/>
        <w:spacing w:after="0" w:line="252" w:lineRule="auto"/>
        <w:tabs>
          <w:tab w:leader="none" w:pos="2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case of a dispute as to the determination of the Exercise Price, the Closing Sale Price, the Closing Bid Price, the Bid Price or fair market value or the arithmetic calculation of the Warrant Shares (as the case may be), the Company or the Holder (as the case may be) shall submit the disputed determinations or arithmetic calculations (as the case may be) via facsimile (i) within two (2) Business Days after receipt of the applicable notice giving rise to such dispute to the Company or the Holder (as the case may be) or (ii) if no notice gave rise to such dispute, at any time after the Holder or the Company (as the case may be) learned of the circumstances giving rise to such dispute. If the Holder and the Company are unable to agree upon such determination or calculation (as the case may be) of the Exercise Price, the Closing Sale Price, the Closing Bid Price, the Bid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facsimile (a) the disputed arithmetic calculation of the Warrant Shares, the disputed determination of the Exercise Price, the Closing Sale Price, the Closing Bid Price, the Bid Price or fair market value (as the case may be) to an independent, reputable investment bank selected by the Holder, with the consent of the Company (which may not be unreasonably withheld, conditioned or delayed), or (b) if acceptable to the Holder, the disputed arithmetic calculation of the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 The fees and expenses of such investment bank or accountant shall be borne by the parties in the same proportion as the respective amounts by which the investment bank’s or accountant’s determination differs from such party’s calculation.</w:t>
      </w:r>
    </w:p>
    <w:p>
      <w:pPr>
        <w:spacing w:after="0" w:line="193" w:lineRule="exact"/>
        <w:rPr>
          <w:rFonts w:ascii="Times New Roman" w:cs="Times New Roman" w:eastAsia="Times New Roman" w:hAnsi="Times New Roman"/>
          <w:sz w:val="18"/>
          <w:szCs w:val="18"/>
          <w:color w:val="auto"/>
        </w:rPr>
      </w:pPr>
    </w:p>
    <w:p>
      <w:pPr>
        <w:jc w:val="both"/>
        <w:ind w:firstLine="8"/>
        <w:spacing w:after="0" w:line="252" w:lineRule="auto"/>
        <w:tabs>
          <w:tab w:leader="none" w:pos="2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 OTHER OBLIGATIONS, BREACHES AND INJUNCTIVE RELIEF</w:t>
      </w:r>
      <w:r>
        <w:rPr>
          <w:rFonts w:ascii="Times New Roman" w:cs="Times New Roman" w:eastAsia="Times New Roman" w:hAnsi="Times New Roman"/>
          <w:sz w:val="18"/>
          <w:szCs w:val="18"/>
          <w:color w:val="auto"/>
        </w:rPr>
        <w:t xml:space="preserve">.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as contemplated hereby upon the exercise of this Warrant shall be made without charge to the Holder or such shares for any issuance tax or other costs in respect thereof,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Company shall not be required to pay any tax which may be payable in respect of any transfer involved in the issuance and delivery of any certificate in a name other than the Holder or its agent on its behalf.</w:t>
      </w:r>
    </w:p>
    <w:p>
      <w:pPr>
        <w:spacing w:after="0" w:line="196"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Warrant may be offered for sale, sold, transferred or assigned without the consent of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1" w:lineRule="exact"/>
        <w:rPr>
          <w:sz w:val="20"/>
          <w:szCs w:val="20"/>
          <w:color w:val="auto"/>
        </w:rPr>
      </w:pPr>
    </w:p>
    <w:p>
      <w:pPr>
        <w:jc w:val="both"/>
        <w:ind w:firstLine="8"/>
        <w:spacing w:after="0" w:line="254" w:lineRule="auto"/>
        <w:tabs>
          <w:tab w:leader="none" w:pos="2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security as of the particular time of determination,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all of the market makers for such security as reported in the “pink sheets” by OTC Markets Group Inc. (formerly Pink Sheets LLC)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88" w:lineRule="exact"/>
        <w:rPr>
          <w:rFonts w:ascii="Times New Roman" w:cs="Times New Roman" w:eastAsia="Times New Roman" w:hAnsi="Times New Roman"/>
          <w:sz w:val="18"/>
          <w:szCs w:val="18"/>
          <w:color w:val="auto"/>
        </w:rPr>
      </w:pPr>
    </w:p>
    <w:p>
      <w:pPr>
        <w:jc w:val="both"/>
        <w:ind w:firstLine="8"/>
        <w:spacing w:after="0" w:line="263"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Black Scholes value of an option for one share of Common Stock at the date of the applicable Cashless Exercise, as such Black Scholes value is determined, calculated using the Black Scholes Option Pricing Model obtained from the “OV” function on Bloomberg utilizing</w:t>
      </w:r>
    </w:p>
    <w:p>
      <w:pPr>
        <w:jc w:val="both"/>
        <w:ind w:right="20" w:firstLine="8"/>
        <w:spacing w:after="0" w:line="255" w:lineRule="auto"/>
        <w:tabs>
          <w:tab w:leader="none" w:pos="2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underlying price per share equal to the Exercise Price, as adjusted, (ii) a risk-free interest rate corresponding to the U.S. Treasury rate, (iii) a strike price equal to the Exercise Price in effect at the time of the applicable Cashless Exercise, (iv) an expected volatility equal to 175%, and (v) a deemed remaining term of the Warrant of five (5) years (regardless of the actual remaining term of the Warrant).</w:t>
      </w:r>
    </w:p>
    <w:p>
      <w:pPr>
        <w:spacing w:after="0" w:line="181" w:lineRule="exact"/>
        <w:rPr>
          <w:rFonts w:ascii="Times New Roman" w:cs="Times New Roman" w:eastAsia="Times New Roman" w:hAnsi="Times New Roman"/>
          <w:sz w:val="18"/>
          <w:szCs w:val="18"/>
          <w:color w:val="auto"/>
        </w:rPr>
      </w:pPr>
    </w:p>
    <w:p>
      <w:pPr>
        <w:jc w:val="both"/>
        <w:ind w:firstLine="8"/>
        <w:spacing w:after="0" w:line="255" w:lineRule="auto"/>
        <w:tabs>
          <w:tab w:leader="none" w:pos="2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Value – Consideration</w:t>
      </w:r>
      <w:r>
        <w:rPr>
          <w:rFonts w:ascii="Times New Roman" w:cs="Times New Roman" w:eastAsia="Times New Roman" w:hAnsi="Times New Roman"/>
          <w:sz w:val="18"/>
          <w:szCs w:val="18"/>
          <w:color w:val="auto"/>
        </w:rPr>
        <w:t>” means the value of the applicable Option or Convertible Security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or Convertible Security (as the case may be), (ii) a risk-free interest rate corresponding to the U.S. Treasury rate for a period equal to the remaining term of such Option or Convertible Security (as the case may be) as of the date of issuance of such Option or Convertible Security (as the case may be) and (iii) an expected volatility equal to the greater of 100% and the 100 day volatility obtained from the HVT function on Bloomberg (determined utilizing a 3 65 day annualization factor) as of the Trading Day immediately following the date of issuance of such Option or Convertible Security (as the case may be).</w:t>
      </w:r>
    </w:p>
    <w:p>
      <w:pPr>
        <w:spacing w:after="0" w:line="184" w:lineRule="exact"/>
        <w:rPr>
          <w:rFonts w:ascii="Times New Roman" w:cs="Times New Roman" w:eastAsia="Times New Roman" w:hAnsi="Times New Roman"/>
          <w:sz w:val="18"/>
          <w:szCs w:val="18"/>
          <w:color w:val="auto"/>
        </w:rPr>
      </w:pPr>
    </w:p>
    <w:p>
      <w:pPr>
        <w:jc w:val="both"/>
        <w:ind w:firstLine="8"/>
        <w:spacing w:after="0" w:line="253" w:lineRule="auto"/>
        <w:tabs>
          <w:tab w:leader="none" w:pos="2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Black Scholes Value – FT</w:t>
      </w:r>
      <w:r>
        <w:rPr>
          <w:rFonts w:ascii="Times New Roman" w:cs="Times New Roman" w:eastAsia="Times New Roman" w:hAnsi="Times New Roman"/>
          <w:sz w:val="18"/>
          <w:szCs w:val="18"/>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greater of (A) the highest Closing Sale Price of the Common Stock during the period beginning on the Trading Day immediately preceding the earliest to occur of (1) the public disclosure of the applicable Fundamental Transaction, (2) the consummation of the applicable Fundamental Transaction and (3) the date on which the Holder first became aware of the applicable Fundamental Transaction and ending on the Trading Day of the Holder’s request pursuant to Section 4(c) and (B) the sum of the price per share being offered in cash in the applicable Fundamental Transaction (if any) plus the value of the non-cash consideration being offered in the applicable Fundamental Transaction (if any), (ii) a strike price equal to the Exercise Price in effect on the date of the Holder’s request pursuant to Section 4(c), (iii) a risk-free interest rate corresponding to the U.S. Treasury rate for a period equal to the greater of (A) the remaining term of this Warrant as of the date of the Holder’s request pursuant to Section 4(c) and (B) the remaining term of this Warrant as of the date of consummation of the applicable Fundamental Transaction or as of the date of the Holder’s request pursuant to Section 4(c) if such request is prior to the date of the consummation of the applicable Fundamental Transaction and (iv) an expected volatility equal to the greater of 175% and the 100 day volatility obtained from the HVT function on Bloomberg (determined utilizing a 365 day annualization factor) as of the Trading Day immediately following the earliest to occur of (A) the public disclosure of the applicable Fundamental Transaction, (B) the consummation of the applicable Fundamental Transaction and (C) the date on which the Holder first became aware of the applicable Fundamental Transaction.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means Bloomberg, L.P.</w:t>
      </w:r>
    </w:p>
    <w:p>
      <w:pPr>
        <w:spacing w:after="0" w:line="225" w:lineRule="exact"/>
        <w:rPr>
          <w:rFonts w:ascii="Times New Roman" w:cs="Times New Roman" w:eastAsia="Times New Roman" w:hAnsi="Times New Roman"/>
          <w:sz w:val="18"/>
          <w:szCs w:val="18"/>
          <w:color w:val="auto"/>
        </w:rPr>
      </w:pPr>
    </w:p>
    <w:p>
      <w:pPr>
        <w:ind w:right="20" w:firstLine="8"/>
        <w:spacing w:after="0" w:line="286" w:lineRule="auto"/>
        <w:tabs>
          <w:tab w:leader="none" w:pos="2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Sunday or other day on which commercial banks in New York, New York are authorized or required by law to remain closed.</w:t>
      </w:r>
    </w:p>
    <w:p>
      <w:pPr>
        <w:spacing w:after="0" w:line="154" w:lineRule="exact"/>
        <w:rPr>
          <w:rFonts w:ascii="Times New Roman" w:cs="Times New Roman" w:eastAsia="Times New Roman" w:hAnsi="Times New Roman"/>
          <w:sz w:val="18"/>
          <w:szCs w:val="18"/>
          <w:color w:val="auto"/>
        </w:rPr>
      </w:pPr>
    </w:p>
    <w:p>
      <w:pPr>
        <w:jc w:val="both"/>
        <w:ind w:firstLine="8"/>
        <w:spacing w:after="0" w:line="255" w:lineRule="auto"/>
        <w:tabs>
          <w:tab w:leader="none" w:pos="2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closing bid price and the last closing trade price, respectively, for such security on the principal securities exchange or trading market where such security is listed or traded as reported by Bloomberg, or if the foregoing do not apply, the average of the bid prices, or the ask prices, respectively, of all of the market makers for such security as reported in the “pink sheets” by OTC Markets Group Inc. (formerly Pink Sheets LLC).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84" w:lineRule="exact"/>
        <w:rPr>
          <w:rFonts w:ascii="Times New Roman" w:cs="Times New Roman" w:eastAsia="Times New Roman" w:hAnsi="Times New Roman"/>
          <w:sz w:val="18"/>
          <w:szCs w:val="18"/>
          <w:color w:val="auto"/>
        </w:rPr>
      </w:pPr>
    </w:p>
    <w:p>
      <w:pPr>
        <w:jc w:val="both"/>
        <w:ind w:firstLine="8"/>
        <w:spacing w:after="0" w:line="262"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par value $0.0001 per share, of the Company and any other shares of stock issued or issuable with respect thereto (whether by way of a stock dividend or stock split or in exchange for or upon conversion of such shares or otherwise in connection with a combination of shares, distribution, recapitalization, merger, consolidation, other corporate reorganization or other similar event with respect to the Common Stock).</w:t>
      </w:r>
    </w:p>
    <w:p>
      <w:pPr>
        <w:spacing w:after="0" w:line="176" w:lineRule="exact"/>
        <w:rPr>
          <w:rFonts w:ascii="Times New Roman" w:cs="Times New Roman" w:eastAsia="Times New Roman" w:hAnsi="Times New Roman"/>
          <w:sz w:val="18"/>
          <w:szCs w:val="18"/>
          <w:color w:val="auto"/>
        </w:rPr>
      </w:pPr>
    </w:p>
    <w:p>
      <w:pPr>
        <w:jc w:val="both"/>
        <w:ind w:firstLine="8"/>
        <w:spacing w:after="0" w:line="268" w:lineRule="auto"/>
        <w:tabs>
          <w:tab w:leader="none" w:pos="2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Securities</w:t>
      </w:r>
      <w:r>
        <w:rPr>
          <w:rFonts w:ascii="Times New Roman" w:cs="Times New Roman" w:eastAsia="Times New Roman" w:hAnsi="Times New Roman"/>
          <w:sz w:val="18"/>
          <w:szCs w:val="18"/>
          <w:color w:val="auto"/>
        </w:rPr>
        <w:t>” means any capital stock or other security of the Company that is at any time and under any circumstances directly or indirectly convertible into, exercisable or exchangeable for, or which otherwise entitles the holder thereof to acquire, any capital stock or other security of the Company (including, without limitation, Common Stock)..</w:t>
      </w:r>
    </w:p>
    <w:p>
      <w:pPr>
        <w:spacing w:after="0" w:line="170" w:lineRule="exact"/>
        <w:rPr>
          <w:rFonts w:ascii="Times New Roman" w:cs="Times New Roman" w:eastAsia="Times New Roman" w:hAnsi="Times New Roman"/>
          <w:sz w:val="18"/>
          <w:szCs w:val="18"/>
          <w:color w:val="auto"/>
        </w:rPr>
      </w:pPr>
    </w:p>
    <w:p>
      <w:pPr>
        <w:ind w:firstLine="8"/>
        <w:spacing w:after="0" w:line="286" w:lineRule="auto"/>
        <w:tabs>
          <w:tab w:leader="none" w:pos="2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Market</w:t>
      </w:r>
      <w:r>
        <w:rPr>
          <w:rFonts w:ascii="Times New Roman" w:cs="Times New Roman" w:eastAsia="Times New Roman" w:hAnsi="Times New Roman"/>
          <w:sz w:val="18"/>
          <w:szCs w:val="18"/>
          <w:color w:val="auto"/>
        </w:rPr>
        <w:t>” means the New York Stock Exchange, the NYSE Amex, the Nasdaq Global Select Market, the Nasdaq Global Market or the Nasdaq Capital Market.</w:t>
      </w:r>
    </w:p>
    <w:p>
      <w:pPr>
        <w:spacing w:after="0" w:line="154" w:lineRule="exact"/>
        <w:rPr>
          <w:rFonts w:ascii="Times New Roman" w:cs="Times New Roman" w:eastAsia="Times New Roman" w:hAnsi="Times New Roman"/>
          <w:sz w:val="18"/>
          <w:szCs w:val="18"/>
          <w:color w:val="auto"/>
        </w:rPr>
      </w:pPr>
    </w:p>
    <w:p>
      <w:pPr>
        <w:ind w:firstLine="8"/>
        <w:spacing w:after="0" w:line="286"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date that is May 13, 2031 or, if such date falls on a day other than a Business Day or on which trading doe snot take place on the principal securities exchange or trading market where the Common Stock is listed (a “</w:t>
      </w:r>
      <w:r>
        <w:rPr>
          <w:rFonts w:ascii="Times New Roman" w:cs="Times New Roman" w:eastAsia="Times New Roman" w:hAnsi="Times New Roman"/>
          <w:sz w:val="18"/>
          <w:szCs w:val="18"/>
          <w:b w:val="1"/>
          <w:bCs w:val="1"/>
          <w:color w:val="auto"/>
        </w:rPr>
        <w:t>Holiday</w:t>
      </w:r>
      <w:r>
        <w:rPr>
          <w:rFonts w:ascii="Times New Roman" w:cs="Times New Roman" w:eastAsia="Times New Roman" w:hAnsi="Times New Roman"/>
          <w:sz w:val="18"/>
          <w:szCs w:val="18"/>
          <w:color w:val="auto"/>
        </w:rPr>
        <w:t>”), the next date that is not a Holiday.</w:t>
      </w:r>
    </w:p>
    <w:p>
      <w:pPr>
        <w:spacing w:after="0" w:line="154" w:lineRule="exact"/>
        <w:rPr>
          <w:rFonts w:ascii="Times New Roman" w:cs="Times New Roman" w:eastAsia="Times New Roman" w:hAnsi="Times New Roman"/>
          <w:sz w:val="18"/>
          <w:szCs w:val="18"/>
          <w:color w:val="auto"/>
        </w:rPr>
      </w:pPr>
    </w:p>
    <w:p>
      <w:pPr>
        <w:jc w:val="both"/>
        <w:ind w:firstLine="8"/>
        <w:spacing w:after="0" w:line="253" w:lineRule="auto"/>
        <w:tabs>
          <w:tab w:leader="none" w:pos="2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means that (i) the Company shall, directly or indirectly, in one or more related transactions, (1) consolidate or merge with or into (whether or not the Company is the surviving entity) any other Person unless the shareholders of the Company immediately prior to such consolidation or merger continue to hold more than 50% of the outstanding shares of Voting Stock after such consolidation or merger, or (2) sell, lease, license, assign, transfer, convey or otherwise dispose of all or substantially all of its properties or assets to any other Person, in connection with which the Company is dissolved, or (3)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means any rights, warrants or options to subscribe for or purchase Common Stock or Convertible Securities.</w:t>
      </w:r>
    </w:p>
    <w:p>
      <w:pPr>
        <w:spacing w:after="0" w:line="225" w:lineRule="exact"/>
        <w:rPr>
          <w:rFonts w:ascii="Times New Roman" w:cs="Times New Roman" w:eastAsia="Times New Roman" w:hAnsi="Times New Roman"/>
          <w:sz w:val="18"/>
          <w:szCs w:val="18"/>
          <w:color w:val="auto"/>
        </w:rPr>
      </w:pPr>
    </w:p>
    <w:p>
      <w:pPr>
        <w:jc w:val="both"/>
        <w:ind w:firstLine="8"/>
        <w:spacing w:after="0" w:line="268"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0" w:lineRule="exact"/>
        <w:rPr>
          <w:rFonts w:ascii="Times New Roman" w:cs="Times New Roman" w:eastAsia="Times New Roman" w:hAnsi="Times New Roman"/>
          <w:sz w:val="18"/>
          <w:szCs w:val="18"/>
          <w:color w:val="auto"/>
        </w:rPr>
      </w:pPr>
    </w:p>
    <w:p>
      <w:pPr>
        <w:ind w:firstLine="8"/>
        <w:spacing w:after="0" w:line="286" w:lineRule="auto"/>
        <w:tabs>
          <w:tab w:leader="none" w:pos="2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54" w:lineRule="exact"/>
        <w:rPr>
          <w:rFonts w:ascii="Times New Roman" w:cs="Times New Roman" w:eastAsia="Times New Roman" w:hAnsi="Times New Roman"/>
          <w:sz w:val="18"/>
          <w:szCs w:val="18"/>
          <w:color w:val="auto"/>
        </w:rPr>
      </w:pPr>
    </w:p>
    <w:p>
      <w:pPr>
        <w:ind w:firstLine="8"/>
        <w:spacing w:after="0" w:line="286" w:lineRule="auto"/>
        <w:tabs>
          <w:tab w:leader="none" w:pos="2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54" w:lineRule="exact"/>
        <w:rPr>
          <w:rFonts w:ascii="Times New Roman" w:cs="Times New Roman" w:eastAsia="Times New Roman" w:hAnsi="Times New Roman"/>
          <w:sz w:val="18"/>
          <w:szCs w:val="18"/>
          <w:color w:val="auto"/>
        </w:rPr>
      </w:pPr>
    </w:p>
    <w:p>
      <w:pPr>
        <w:jc w:val="both"/>
        <w:ind w:firstLine="8"/>
        <w:spacing w:after="0" w:line="256"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xml:space="preserve">” means, as applicable, (x) with respect to all price determinations relating to the Common Stock, any day on which the Common Stock is traded on the principal securities exchange or securities market on which the Common Stock is then traded,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Common Stock, any day on which The New York Stock Exchange (or any successor thereto) is open for trading of securities.</w:t>
      </w:r>
    </w:p>
    <w:p>
      <w:pPr>
        <w:spacing w:after="0" w:line="182" w:lineRule="exact"/>
        <w:rPr>
          <w:rFonts w:ascii="Times New Roman" w:cs="Times New Roman" w:eastAsia="Times New Roman" w:hAnsi="Times New Roman"/>
          <w:sz w:val="18"/>
          <w:szCs w:val="18"/>
          <w:color w:val="auto"/>
        </w:rPr>
      </w:pPr>
    </w:p>
    <w:p>
      <w:pPr>
        <w:jc w:val="both"/>
        <w:ind w:firstLine="8"/>
        <w:spacing w:after="0" w:line="268" w:lineRule="auto"/>
        <w:tabs>
          <w:tab w:leader="none" w:pos="2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70" w:lineRule="exact"/>
        <w:rPr>
          <w:rFonts w:ascii="Times New Roman" w:cs="Times New Roman" w:eastAsia="Times New Roman" w:hAnsi="Times New Roman"/>
          <w:sz w:val="18"/>
          <w:szCs w:val="18"/>
          <w:color w:val="auto"/>
        </w:rPr>
      </w:pPr>
    </w:p>
    <w:p>
      <w:pPr>
        <w:jc w:val="both"/>
        <w:ind w:firstLine="8"/>
        <w:spacing w:after="0" w:line="254" w:lineRule="auto"/>
        <w:tabs>
          <w:tab w:leader="none" w:pos="2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three highest closing bid prices and the three lowest closing ask prices of all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Warrant to Purchase Common Stock to be duly executed as of the Issuance Date set out above.</w:t>
      </w: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BiomX Inc.</w:t>
      </w:r>
    </w:p>
    <w:p>
      <w:pPr>
        <w:spacing w:after="0" w:line="27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Oster</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Michael 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0" w:lineRule="exact"/>
        <w:rPr>
          <w:sz w:val="20"/>
          <w:szCs w:val="20"/>
          <w:color w:val="auto"/>
        </w:rPr>
      </w:pPr>
    </w:p>
    <w:p>
      <w:pPr>
        <w:spacing w:after="0" w:line="2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THIS WARRANT TO PURCHASE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undersigned holder hereby exercises the right to purchase shares of the Common Stock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of BiomX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evidenced by Warrant to Purchase Common Stock No.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Capitalized terms used herein and not otherwise defined shall have the respective meanings set forth in the Warrant.</w:t>
      </w:r>
    </w:p>
    <w:p>
      <w:pPr>
        <w:spacing w:after="0" w:line="175" w:lineRule="exact"/>
        <w:rPr>
          <w:sz w:val="20"/>
          <w:szCs w:val="20"/>
          <w:color w:val="auto"/>
        </w:rPr>
      </w:pPr>
    </w:p>
    <w:p>
      <w:pPr>
        <w:ind w:left="740" w:hanging="651"/>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Exercise Price. The Holder intends that payment of the Exercise Price shall be made as: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 a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with respect to ______________ Warrant Shares; and/or</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to______________ Warrant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that the Holder has elected a Cashless Exercise with respect to some or all of the Warrant Shares, the Holder represents and warrants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 Common Stock are to be delivered pursuant to such Cashless Exercise, as further specified in Annex A to this Exercise Notice.</w:t>
      </w:r>
    </w:p>
    <w:p>
      <w:pPr>
        <w:spacing w:after="0" w:line="207" w:lineRule="exact"/>
        <w:rPr>
          <w:sz w:val="20"/>
          <w:szCs w:val="20"/>
          <w:color w:val="auto"/>
        </w:rPr>
      </w:pPr>
    </w:p>
    <w:p>
      <w:pPr>
        <w:ind w:left="720" w:hanging="658"/>
        <w:spacing w:after="0" w:line="282" w:lineRule="auto"/>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w:t>
      </w:r>
      <w:r>
        <w:rPr>
          <w:rFonts w:ascii="Times New Roman" w:cs="Times New Roman" w:eastAsia="Times New Roman" w:hAnsi="Times New Roman"/>
          <w:sz w:val="18"/>
          <w:szCs w:val="18"/>
          <w:color w:val="auto"/>
        </w:rPr>
        <w:t>y</w:t>
      </w:r>
      <w:r>
        <w:rPr>
          <w:rFonts w:ascii="Times New Roman" w:cs="Times New Roman" w:eastAsia="Times New Roman" w:hAnsi="Times New Roman"/>
          <w:sz w:val="18"/>
          <w:szCs w:val="18"/>
          <w:u w:val="single" w:color="auto"/>
          <w:color w:val="auto"/>
        </w:rPr>
        <w:t>ment of Exercise Price</w:t>
      </w:r>
      <w:r>
        <w:rPr>
          <w:rFonts w:ascii="Times New Roman" w:cs="Times New Roman" w:eastAsia="Times New Roman" w:hAnsi="Times New Roman"/>
          <w:sz w:val="18"/>
          <w:szCs w:val="18"/>
          <w:color w:val="auto"/>
        </w:rPr>
        <w:t>. In the event that the Holder has elected a Cash Exercise with respect to some or all of the Warrant Shares, the Holder shall pay the Aggregate Exercise Price in the sum of $ ______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720" w:hanging="658"/>
        <w:spacing w:after="0" w:line="312" w:lineRule="auto"/>
        <w:tabs>
          <w:tab w:leader="none" w:pos="7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w:t>
      </w:r>
      <w:r>
        <w:rPr>
          <w:rFonts w:ascii="Times New Roman" w:cs="Times New Roman" w:eastAsia="Times New Roman" w:hAnsi="Times New Roman"/>
          <w:sz w:val="17"/>
          <w:szCs w:val="17"/>
          <w:color w:val="auto"/>
        </w:rPr>
        <w:t xml:space="preserve">y </w:t>
      </w:r>
      <w:r>
        <w:rPr>
          <w:rFonts w:ascii="Times New Roman" w:cs="Times New Roman" w:eastAsia="Times New Roman" w:hAnsi="Times New Roman"/>
          <w:sz w:val="17"/>
          <w:szCs w:val="17"/>
          <w:u w:val="single" w:color="auto"/>
          <w:color w:val="auto"/>
        </w:rPr>
        <w:t>of Warrant Shares and Net Number of Common Stock</w:t>
      </w:r>
      <w:r>
        <w:rPr>
          <w:rFonts w:ascii="Times New Roman" w:cs="Times New Roman" w:eastAsia="Times New Roman" w:hAnsi="Times New Roman"/>
          <w:sz w:val="17"/>
          <w:szCs w:val="17"/>
          <w:color w:val="auto"/>
        </w:rPr>
        <w:t>. The Company shall deliver to Holder, or its designee or agent as specified below, _ Common Stock in respect of the exercise contemplated hereby. Delivery shall be made to Holder, or for its benefit, to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1086485</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803275</wp:posOffset>
            </wp:positionV>
            <wp:extent cx="3566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520700</wp:posOffset>
            </wp:positionV>
            <wp:extent cx="3566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237490</wp:posOffset>
            </wp:positionV>
            <wp:extent cx="3566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1369060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Date: ______________________, 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Number: 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electronic book entry transfer) Transaction Code Number: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Code Number: 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electronic book entry transfer)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ANNEX A TO EXERCISE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CASHLESS EXERCISE EXCHANGE CALCULATION</w:t>
      </w:r>
    </w:p>
    <w:p>
      <w:pPr>
        <w:spacing w:after="0" w:line="225" w:lineRule="exact"/>
        <w:rPr>
          <w:sz w:val="20"/>
          <w:szCs w:val="20"/>
          <w:color w:val="auto"/>
        </w:rPr>
      </w:pPr>
    </w:p>
    <w:p>
      <w:pPr>
        <w:ind w:right="4960"/>
        <w:spacing w:after="0" w:line="268" w:lineRule="auto"/>
        <w:rPr>
          <w:sz w:val="20"/>
          <w:szCs w:val="20"/>
          <w:color w:val="auto"/>
        </w:rPr>
      </w:pPr>
      <w:r>
        <w:rPr>
          <w:rFonts w:ascii="Times New Roman" w:cs="Times New Roman" w:eastAsia="Times New Roman" w:hAnsi="Times New Roman"/>
          <w:sz w:val="18"/>
          <w:szCs w:val="18"/>
          <w:b w:val="1"/>
          <w:bCs w:val="1"/>
          <w:color w:val="auto"/>
        </w:rPr>
        <w:t>TO BE FILLED IN BY THE REGISTERED HOLDER TO EXCHANGE THE WARRANT TO PURCHASE COMMON STOCK IN A CASHLESS EXERCISE PURSUANT TO SECTION 1(d) OF THE WARRANT</w:t>
      </w:r>
    </w:p>
    <w:p>
      <w:pPr>
        <w:spacing w:after="0" w:line="175" w:lineRule="exact"/>
        <w:rPr>
          <w:sz w:val="20"/>
          <w:szCs w:val="20"/>
          <w:color w:val="auto"/>
        </w:rPr>
      </w:pPr>
    </w:p>
    <w:p>
      <w:pPr>
        <w:ind w:right="4460"/>
        <w:spacing w:after="0" w:line="500" w:lineRule="auto"/>
        <w:rPr>
          <w:sz w:val="20"/>
          <w:szCs w:val="20"/>
          <w:color w:val="auto"/>
        </w:rPr>
      </w:pPr>
      <w:r>
        <w:rPr>
          <w:rFonts w:ascii="Times New Roman" w:cs="Times New Roman" w:eastAsia="Times New Roman" w:hAnsi="Times New Roman"/>
          <w:sz w:val="18"/>
          <w:szCs w:val="18"/>
          <w:color w:val="auto"/>
        </w:rPr>
        <w:t>Capitalized terms used herein and not otherwise defined shall have the respective meanings set forth in the Warrant. [ ] Net Number = (A x B)/C = shares of Common Stock For purposes of the foregoing formula: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total number of shares with respect to which the Warrant is then being exercised = 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Black Scholes Value (as defined in Section 16 of the Warrant) = _______________.</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 The lower of the two Closing Bid Prices of the Common Stock in the two days prior the time of such exercise (as such Closing Bid Price is defined in Section 16 of the Warrant) = _______________.</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 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Registered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acknowledges this Exercise Notice and hereby directs ____ to issue the above indicated number of shares of Common Stock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Transfer Agent Instructions dated _____, 20__, from the Company and acknowledged and agreed to by ____________________.</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BIOMX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May 13, 2026 is by and between BiomX Inc., a Delaware corporation (“</w:t>
      </w:r>
      <w:r>
        <w:rPr>
          <w:rFonts w:ascii="Times New Roman" w:cs="Times New Roman" w:eastAsia="Times New Roman" w:hAnsi="Times New Roman"/>
          <w:sz w:val="18"/>
          <w:szCs w:val="18"/>
          <w:b w:val="1"/>
          <w:bCs w:val="1"/>
          <w:color w:val="auto"/>
        </w:rPr>
        <w:t>BiomX</w:t>
      </w:r>
      <w:r>
        <w:rPr>
          <w:rFonts w:ascii="Times New Roman" w:cs="Times New Roman" w:eastAsia="Times New Roman" w:hAnsi="Times New Roman"/>
          <w:sz w:val="18"/>
          <w:szCs w:val="18"/>
          <w:color w:val="auto"/>
        </w:rPr>
        <w:t>”), and Mandragola Ltd., an Israeli company (“</w:t>
      </w:r>
      <w:r>
        <w:rPr>
          <w:rFonts w:ascii="Times New Roman" w:cs="Times New Roman" w:eastAsia="Times New Roman" w:hAnsi="Times New Roman"/>
          <w:sz w:val="18"/>
          <w:szCs w:val="18"/>
          <w:b w:val="1"/>
          <w:bCs w:val="1"/>
          <w:color w:val="auto"/>
        </w:rPr>
        <w:t>Mandragola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are parties to Stock Purchase &amp; Assignment Agreement (the “SPA”) pursuant to which the Company purchased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Mandragola 100% of Mandragola’s shareholdings in DFSL, representing 60% of the issued and outstanding voting equity capital of DFSL on a fully diluted basis; and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of the SPA, Mandragola agreed to provide to the BiomX a credit line in an amount and on terms to be mutually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u, to be utilized for the development and expansion of the business of BiomX, including the operation of DFSL;</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enter into this more formalized arrangement regarding the terms of borrowings to be made available to BiomX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subsidiaries;</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promises and representations set forth herein, and for other good and valuable consideration, the receipt and sufficiency of which is hereby acknowledged, and intending to be legally bound hereby, the parties agree as follows:</w:t>
      </w:r>
    </w:p>
    <w:p>
      <w:pPr>
        <w:spacing w:after="0" w:line="158" w:lineRule="exact"/>
        <w:rPr>
          <w:sz w:val="20"/>
          <w:szCs w:val="20"/>
          <w:color w:val="auto"/>
        </w:rPr>
      </w:pPr>
    </w:p>
    <w:p>
      <w:pPr>
        <w:jc w:val="both"/>
        <w:ind w:firstLine="8"/>
        <w:spacing w:after="0" w:line="256" w:lineRule="auto"/>
        <w:tabs>
          <w:tab w:leader="none" w:pos="1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Line of Credit</w:t>
      </w:r>
      <w:r>
        <w:rPr>
          <w:rFonts w:ascii="Times New Roman" w:cs="Times New Roman" w:eastAsia="Times New Roman" w:hAnsi="Times New Roman"/>
          <w:sz w:val="18"/>
          <w:szCs w:val="18"/>
          <w:color w:val="auto"/>
        </w:rPr>
        <w:t>. Mandragola hereby establishes a line of credit (the “</w:t>
      </w:r>
      <w:r>
        <w:rPr>
          <w:rFonts w:ascii="Times New Roman" w:cs="Times New Roman" w:eastAsia="Times New Roman" w:hAnsi="Times New Roman"/>
          <w:sz w:val="18"/>
          <w:szCs w:val="18"/>
          <w:b w:val="1"/>
          <w:bCs w:val="1"/>
          <w:color w:val="auto"/>
        </w:rPr>
        <w:t>Credit Line</w:t>
      </w:r>
      <w:r>
        <w:rPr>
          <w:rFonts w:ascii="Times New Roman" w:cs="Times New Roman" w:eastAsia="Times New Roman" w:hAnsi="Times New Roman"/>
          <w:sz w:val="18"/>
          <w:szCs w:val="18"/>
          <w:color w:val="auto"/>
        </w:rPr>
        <w:t>”) to be available to BiomX or any operating subsidiary of BiomX, including without limitation, Biomx Ltd, DFSL, Zorronet (each of which shall hereinafter be referred to as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in the aggregate principal amount of up to Two Million and 00/100 Dollars ($2,000,000.00) (the “</w:t>
      </w:r>
      <w:r>
        <w:rPr>
          <w:rFonts w:ascii="Times New Roman" w:cs="Times New Roman" w:eastAsia="Times New Roman" w:hAnsi="Times New Roman"/>
          <w:sz w:val="18"/>
          <w:szCs w:val="18"/>
          <w:b w:val="1"/>
          <w:bCs w:val="1"/>
          <w:color w:val="auto"/>
        </w:rPr>
        <w:t>Credit Limit</w:t>
      </w:r>
      <w:r>
        <w:rPr>
          <w:rFonts w:ascii="Times New Roman" w:cs="Times New Roman" w:eastAsia="Times New Roman" w:hAnsi="Times New Roman"/>
          <w:sz w:val="18"/>
          <w:szCs w:val="18"/>
          <w:color w:val="auto"/>
        </w:rPr>
        <w:t xml:space="preserve">”). Any Borrower shall have the right to borrow, prepay, and reborrow, an amount up to the Credit Limit. In connection herewith, Borrower shall execute and deliver to Lender a convertible promissory note reflecting the draw down on the Credit Line up to a maximum of the Credit Limit and in the form annexed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“Note”). All sums advanced on the Credit Line or pursuant to the terms of this Agreement (each an “</w:t>
      </w:r>
      <w:r>
        <w:rPr>
          <w:rFonts w:ascii="Times New Roman" w:cs="Times New Roman" w:eastAsia="Times New Roman" w:hAnsi="Times New Roman"/>
          <w:sz w:val="18"/>
          <w:szCs w:val="18"/>
          <w:b w:val="1"/>
          <w:bCs w:val="1"/>
          <w:color w:val="auto"/>
        </w:rPr>
        <w:t>Advance</w:t>
      </w:r>
      <w:r>
        <w:rPr>
          <w:rFonts w:ascii="Times New Roman" w:cs="Times New Roman" w:eastAsia="Times New Roman" w:hAnsi="Times New Roman"/>
          <w:sz w:val="18"/>
          <w:szCs w:val="18"/>
          <w:color w:val="auto"/>
        </w:rPr>
        <w:t>”) shall accrue interest at the annual rate of 12% and be convertible to shares of common stock of BiomX based on the last closing price immediately prior to the date of the Request Notice (defined below).</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parties hereby agree that the prior advances made by Mandragola in respect of the purchase of the DFSL shares shall be deemed to be an Advance to BiomX and within the Credit Limit and shall be reflected by a Note executed in such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both"/>
        <w:ind w:left="-8" w:firstLine="8"/>
        <w:spacing w:after="0" w:line="254" w:lineRule="auto"/>
        <w:tabs>
          <w:tab w:leader="none" w:pos="21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Advances</w:t>
      </w:r>
      <w:r>
        <w:rPr>
          <w:rFonts w:ascii="Times New Roman" w:cs="Times New Roman" w:eastAsia="Times New Roman" w:hAnsi="Times New Roman"/>
          <w:sz w:val="18"/>
          <w:szCs w:val="18"/>
          <w:color w:val="auto"/>
        </w:rPr>
        <w:t xml:space="preserve">. Any request for an Advance may be made from time to time and in such amounts as Borrower may choose;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any requested Advance will not, when added to the outstanding principal balance of all previous Advances, exceed the Credit Limit. A request for an Advance shall be made by Borrower in a written notice (the “</w:t>
      </w:r>
      <w:r>
        <w:rPr>
          <w:rFonts w:ascii="Times New Roman" w:cs="Times New Roman" w:eastAsia="Times New Roman" w:hAnsi="Times New Roman"/>
          <w:sz w:val="18"/>
          <w:szCs w:val="18"/>
          <w:b w:val="1"/>
          <w:bCs w:val="1"/>
          <w:color w:val="auto"/>
        </w:rPr>
        <w:t>Request Notice</w:t>
      </w:r>
      <w:r>
        <w:rPr>
          <w:rFonts w:ascii="Times New Roman" w:cs="Times New Roman" w:eastAsia="Times New Roman" w:hAnsi="Times New Roman"/>
          <w:sz w:val="18"/>
          <w:szCs w:val="18"/>
          <w:color w:val="auto"/>
        </w:rPr>
        <w:t>”) to Mandragola at least two (2) business days prior to the date that Borrower desires to receive an Advance. Mandragola shall disburse to Borrower the requested Advance on or before the date specified in Borrower’s Request Notice. Mandragola may refuse to make any requested Advance if an Event of Default (as defined below) has occurred and is continuing hereunder either at the time the Request Notice is given or the date the Advance is to be disbursed, by providing written notice to Borrower of such refusal (which notice shall also specify the Event of Default upon which such refusal is based) no later than the date on which the Advance is to be disbursed to Borrower. Borrower shall pay, and there shall be immediately due and payable, the entire unpaid principal balance, together with any accrued interest and other unpaid charges or fees hereunder. Borrower may prepay principal at any time without penalty or premium.</w:t>
      </w:r>
    </w:p>
    <w:p>
      <w:pPr>
        <w:spacing w:after="0" w:line="190"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2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xml:space="preserve">. In further consideration of making the Credit Line available to the Borrowers, BiomX shall issue a warrant to Mandragola for 2,000,000 shares of common stock of BiomX, exercisable for 5 years and containing other terms and conditions as provided in the warrant attached hereto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8" w:firstLine="8"/>
        <w:spacing w:after="0" w:line="262" w:lineRule="auto"/>
        <w:tabs>
          <w:tab w:leader="none" w:pos="2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will occur if any of the following events occurs: (a) failure to pay any principal or interest hereunder within fifteen (15) business days after written notice by Mandragola of Borrower’s failure to make such payment when due; and (b) filing by or against Borrower, as the case may be, of a voluntary or involuntary petition in bankruptcy seeking reorganization, arrangement or readjustment of debts, or any other relief under the Bankruptcy Code as amended or under any other insolvency act or law, state or federal, now or hereafter existing.</w:t>
      </w:r>
    </w:p>
    <w:p>
      <w:pPr>
        <w:spacing w:after="0" w:line="180"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2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Upon the occurrence of an Event of Default, Mandragola may declare the entire unpaid principal balance, together with accrued interest thereon, to be immediately due and payable without presentment, demand, protest, or other notice of any kind. Mandragola may suspend or terminate any obligation it may have hereunder to make additional Advances. To the extent permitted by law, Borrower waives any rights to presentment, demand, protest, or notice of any kind in connection with this Agreement. No failure or delay on the part of Mandragola in exercising any right, power, or privilege hereunder will preclude any other or further exercise thereof or the exercise of any other right, power, or privilege. The rights and remedies provided herein are cumulative and not exclusive of any other rights or remedies provided at law or in equity.</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29" w:name="page30"/>
    <w:bookmarkEnd w:id="29"/>
    <w:p>
      <w:pPr>
        <w:ind w:left="240" w:hanging="232"/>
        <w:spacing w:after="0"/>
        <w:tabs>
          <w:tab w:leader="none" w:pos="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hereunder shall be in writing. Any notice, request, demand, claim or other communication hereunder shall be deemed duly given (a) if by personal delivery, when so delivered, (b) if mailed, three (3) business days after having been sent by registered or certified mail, return receipt requested, postage prepaid and addressed to the intended recipient as set forth below, (c) if given by facsimile, once such notice is transmitted to the facsimile number specified below and the appropriate answer back or telephonic confirmation is received, or (d) if sent through an overnight delivery service in circumstances to which such service guarantees next day delivery, the day following being so sent: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If to Mandragola:</w:t>
      </w:r>
    </w:p>
    <w:p>
      <w:pPr>
        <w:spacing w:after="0" w:line="16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8 Ha’Gavish Street,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2600"/>
        <w:spacing w:after="0"/>
        <w:rPr>
          <w:sz w:val="20"/>
          <w:szCs w:val="20"/>
          <w:color w:val="auto"/>
        </w:rPr>
      </w:pPr>
      <w:r>
        <w:rPr>
          <w:rFonts w:ascii="Times New Roman" w:cs="Times New Roman" w:eastAsia="Times New Roman" w:hAnsi="Times New Roman"/>
          <w:sz w:val="18"/>
          <w:szCs w:val="18"/>
          <w:color w:val="auto"/>
        </w:rPr>
        <w:t>Netanya, Israel</w:t>
      </w:r>
    </w:p>
    <w:p>
      <w:pPr>
        <w:spacing w:after="0" w:line="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a@mandragolaltd.com</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Or mandragolaltd@gmail.com</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Gur Aryeh Segal</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If to a Borrower, to its address on the Request Notice with a copy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BiomX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Michaelo@Biomx.com</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MIchaelOster</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party may change the address to which notices and other communications hereunder are to be delivered by giving the other parties notice in the manner herein set forth.</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Agreement shall be governed, construed and enforced in accordance with the laws of the State of Delaware and the federal laws of United States applicable therein, without giving effect to principles of conflicts of law.</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Waiver of any and all Rights to a Trial by Jury</w:t>
      </w:r>
      <w:r>
        <w:rPr>
          <w:rFonts w:ascii="Times New Roman" w:cs="Times New Roman" w:eastAsia="Times New Roman" w:hAnsi="Times New Roman"/>
          <w:sz w:val="18"/>
          <w:szCs w:val="18"/>
          <w:color w:val="auto"/>
        </w:rPr>
        <w:t>. All parties to this Agreement unconditionally, irrevocably and expressly waive all rights to trial by jury in any action, proceeding, suit, counterclaim or cross-claim in any matter (whether sounding in tort, contract or otherwise) in any way arising out of or otherwise relating to this Agreement or the transaction or the relationships established hereunder. All parties confirm that the foregoing waiver of a trial by jury is informed and freely made.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sets forth the entire agreement and understanding of the parties in respect of the transactions contemplated hereby and supersedes all prior agreements, arrangements and understandings of the parties relating to the subject matter hereof. No representation, promise, inducement, waiver of rights, agreement or statement of intention has been made by any of the parties which is not expressly embodied in this Agreement, such other agreements, notes or instruments related to this transaction executed simultaneously herewith, or the written statements, certificates, schedules or other documents delivered pursuant to this Agreement or in connection with the transactions contemplated hereby.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Each party’s rights and obligations under this Agreement shall not be assigned or delegated, by operation of law or otherwise, without the other party’s prior consent, and any such assignment or attempted assignment shall be void, of no force or effect, and shall constitute a material default by such party.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modified, superseded or cancelled, and any of the terms, covenants, representations, warranties or conditions hereof may be waived, only by a written instrument executed by Lender and Borrower, or in the case of a waiver, by the party waiving compliance.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The failure of any party at any time or times to require performance of any provision hereof shall in no manner affect the right at a later time to enforce the same. No waiver by any party of any condition, or the breach of any term, covenant, representation or warranty contained in this Agreement, whether by conduct or otherwise, in any one or more instances shall be deemed to be or construed as a further or continuing waiver of any such condition or breach or a waiver of any other term, covenant, representation or warranty of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by facsimile and in two or more counterparts, each of which shall be deemed an original, but all of which together shall constitute one and the same instrument.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provisions,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 signature page to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on the date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Oster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Michael Oster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MANDRAGOLA LTD.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Gur AryehSegal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 A Segal</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04"/>
    </w:lvl>
  </w:abstractNum>
  <w:abstractNum w:abstractNumId="2">
    <w:nsid w:val="519B500D"/>
    <w:multiLevelType w:val="hybridMultilevel"/>
    <w:lvl w:ilvl="0">
      <w:lvlJc w:val="left"/>
      <w:lvlText w:val="(%1)"/>
      <w:numFmt w:val="lowerLetter"/>
      <w:start w:val="2"/>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lowerLetter"/>
      <w:start w:val="1"/>
    </w:lvl>
  </w:abstractNum>
  <w:abstractNum w:abstractNumId="5">
    <w:nsid w:val="7C83E458"/>
    <w:multiLevelType w:val="hybridMultilevel"/>
    <w:lvl w:ilvl="0">
      <w:lvlJc w:val="left"/>
      <w:lvlText w:val="(%1)"/>
      <w:numFmt w:val="lowerLetter"/>
      <w:start w:val="2"/>
    </w:lvl>
    <w:lvl w:ilvl="1">
      <w:lvlJc w:val="left"/>
      <w:lvlText w:val="(%2)"/>
      <w:numFmt w:val="lowerRoman"/>
      <w:start w:val="1"/>
    </w:lvl>
  </w:abstractNum>
  <w:abstractNum w:abstractNumId="6">
    <w:nsid w:val="257130A3"/>
    <w:multiLevelType w:val="hybridMultilevel"/>
    <w:lvl w:ilvl="0">
      <w:lvlJc w:val="left"/>
      <w:lvlText w:val="(%1)"/>
      <w:numFmt w:val="lowerLetter"/>
      <w:start w:val="4"/>
    </w:lvl>
  </w:abstractNum>
  <w:abstractNum w:abstractNumId="7">
    <w:nsid w:val="62BBD95A"/>
    <w:multiLevelType w:val="hybridMultilevel"/>
    <w:lvl w:ilvl="0">
      <w:lvlJc w:val="left"/>
      <w:lvlText w:val="(%1)"/>
      <w:numFmt w:val="lowerLetter"/>
      <w:start w:val="5"/>
    </w:lvl>
  </w:abstractNum>
  <w:abstractNum w:abstractNumId="8">
    <w:nsid w:val="436C6125"/>
    <w:multiLevelType w:val="hybridMultilevel"/>
    <w:lvl w:ilvl="0">
      <w:lvlJc w:val="left"/>
      <w:lvlText w:val="(%1)"/>
      <w:numFmt w:val="lowerLetter"/>
      <w:start w:val="7"/>
    </w:lvl>
  </w:abstractNum>
  <w:abstractNum w:abstractNumId="9">
    <w:nsid w:val="628C895D"/>
    <w:multiLevelType w:val="hybridMultilevel"/>
    <w:lvl w:ilvl="0">
      <w:lvlJc w:val="left"/>
      <w:lvlText w:val="%1."/>
      <w:numFmt w:val="decimal"/>
      <w:start w:val="2"/>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1)"/>
      <w:numFmt w:val="lowerLetter"/>
      <w:start w:val="3"/>
    </w:lvl>
  </w:abstractNum>
  <w:abstractNum w:abstractNumId="12">
    <w:nsid w:val="2443A858"/>
    <w:multiLevelType w:val="hybridMultilevel"/>
    <w:lvl w:ilvl="0">
      <w:lvlJc w:val="left"/>
      <w:lvlText w:val="%1."/>
      <w:numFmt w:val="decimal"/>
      <w:start w:val="3"/>
    </w:lvl>
  </w:abstractNum>
  <w:abstractNum w:abstractNumId="13">
    <w:nsid w:val="2D1D5AE9"/>
    <w:multiLevelType w:val="hybridMultilevel"/>
    <w:lvl w:ilvl="0">
      <w:lvlJc w:val="left"/>
      <w:lvlText w:val="%1."/>
      <w:numFmt w:val="decimal"/>
      <w:start w:val="4"/>
    </w:lvl>
  </w:abstractNum>
  <w:abstractNum w:abstractNumId="14">
    <w:nsid w:val="6763845E"/>
    <w:multiLevelType w:val="hybridMultilevel"/>
    <w:lvl w:ilvl="0">
      <w:lvlJc w:val="left"/>
      <w:lvlText w:val="(%1)"/>
      <w:numFmt w:val="lowerLetter"/>
      <w:start w:val="1"/>
    </w:lvl>
  </w:abstractNum>
  <w:abstractNum w:abstractNumId="15">
    <w:nsid w:val="75A2A8D4"/>
    <w:multiLevelType w:val="hybridMultilevel"/>
    <w:lvl w:ilvl="0">
      <w:lvlJc w:val="left"/>
      <w:lvlText w:val="(%1)"/>
      <w:numFmt w:val="lowerLetter"/>
      <w:start w:val="4"/>
    </w:lvl>
  </w:abstractNum>
  <w:abstractNum w:abstractNumId="16">
    <w:nsid w:val="8EDBDAB"/>
    <w:multiLevelType w:val="hybridMultilevel"/>
    <w:lvl w:ilvl="0">
      <w:lvlJc w:val="left"/>
      <w:lvlText w:val="%1."/>
      <w:numFmt w:val="decimal"/>
      <w:start w:val="5"/>
    </w:lvl>
    <w:lvl w:ilvl="1">
      <w:lvlJc w:val="left"/>
      <w:lvlText w:val="(%2)"/>
      <w:numFmt w:val="lowerLetter"/>
      <w:start w:val="9"/>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lowerLetter"/>
      <w:start w:val="2"/>
    </w:lvl>
  </w:abstractNum>
  <w:abstractNum w:abstractNumId="19">
    <w:nsid w:val="B03E0C6"/>
    <w:multiLevelType w:val="hybridMultilevel"/>
    <w:lvl w:ilvl="0">
      <w:lvlJc w:val="left"/>
      <w:lvlText w:val="%1."/>
      <w:numFmt w:val="decimal"/>
      <w:start w:val="8"/>
    </w:lvl>
  </w:abstractNum>
  <w:abstractNum w:abstractNumId="20">
    <w:nsid w:val="189A769B"/>
    <w:multiLevelType w:val="hybridMultilevel"/>
    <w:lvl w:ilvl="0">
      <w:lvlJc w:val="left"/>
      <w:lvlText w:val="%1."/>
      <w:numFmt w:val="decimal"/>
      <w:start w:val="9"/>
    </w:lvl>
  </w:abstractNum>
  <w:abstractNum w:abstractNumId="21">
    <w:nsid w:val="54E49EB4"/>
    <w:multiLevelType w:val="hybridMultilevel"/>
    <w:lvl w:ilvl="0">
      <w:lvlJc w:val="left"/>
      <w:lvlText w:val="%1."/>
      <w:numFmt w:val="decimal"/>
      <w:start w:val="13"/>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1)"/>
      <w:numFmt w:val="lowerLetter"/>
      <w:start w:val="9"/>
    </w:lvl>
  </w:abstractNum>
  <w:abstractNum w:abstractNumId="24">
    <w:nsid w:val="836C40E"/>
    <w:multiLevelType w:val="hybridMultilevel"/>
    <w:lvl w:ilvl="0">
      <w:lvlJc w:val="left"/>
      <w:lvlText w:val="(%1)"/>
      <w:numFmt w:val="lowerLetter"/>
      <w:start w:val="3"/>
    </w:lvl>
  </w:abstractNum>
  <w:abstractNum w:abstractNumId="25">
    <w:nsid w:val="2901D82"/>
    <w:multiLevelType w:val="hybridMultilevel"/>
    <w:lvl w:ilvl="0">
      <w:lvlJc w:val="left"/>
      <w:lvlText w:val="(%1)"/>
      <w:numFmt w:val="lowerLetter"/>
      <w:start w:val="5"/>
    </w:lvl>
  </w:abstractNum>
  <w:abstractNum w:abstractNumId="26">
    <w:nsid w:val="3A95F874"/>
    <w:multiLevelType w:val="hybridMultilevel"/>
    <w:lvl w:ilvl="0">
      <w:lvlJc w:val="left"/>
      <w:lvlText w:val="(%1)"/>
      <w:numFmt w:val="lowerLetter"/>
      <w:start w:val="13"/>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2"/>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2"/>
    </w:lvl>
  </w:abstractNum>
  <w:abstractNum w:abstractNumId="31">
    <w:nsid w:val="6CEAF087"/>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2026-06-05T15:49:37Z</dcterms:created>
  <dcterms:modified xsi:type="dcterms:W3CDTF">2026-06-05T15:49:37Z</dcterms:modified>
</cp:coreProperties>
</file>