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9423-8k_biomx.htm"/>
      <w:bookmarkStart w:id="1" w:name="ksea02994238k_biomx"/>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C_edei--DocumentType_c20260727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val="false"/>
          <w:i w:val="false"/>
          <w:caps w:val="false"/>
          <w:smallCaps w:val="false"/>
          <w:sz w:val="20"/>
        </w:rPr>
        <w:t>July 27,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1_edei--EntityRegistrantName_c2026"/>
      <w:bookmarkEnd w:id="4"/>
      <w:r>
        <w:rPr>
          <w:rFonts w:ascii="Times New Roman;Times;Serif" w:hAnsi="Times New Roman;Times;Serif"/>
          <w:b/>
          <w:i w:val="false"/>
          <w:caps w:val="false"/>
          <w:smallCaps w:val="false"/>
          <w:sz w:val="20"/>
        </w:rPr>
        <w:t>BIOMX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7050" w:type="dxa"/>
        <w:jc w:val="left"/>
        <w:tblInd w:w="0" w:type="dxa"/>
        <w:tblLayout w:type="fixed"/>
        <w:tblCellMar>
          <w:top w:w="0" w:type="dxa"/>
          <w:left w:w="0" w:type="dxa"/>
          <w:bottom w:w="28" w:type="dxa"/>
          <w:right w:w="0" w:type="dxa"/>
        </w:tblCellMar>
      </w:tblPr>
      <w:tblGrid>
        <w:gridCol w:w="2660"/>
        <w:gridCol w:w="60"/>
        <w:gridCol w:w="2300"/>
        <w:gridCol w:w="60"/>
        <w:gridCol w:w="1970"/>
      </w:tblGrid>
      <w:tr>
        <w:trPr/>
        <w:tc>
          <w:tcPr>
            <w:tcW w:w="2660" w:type="dxa"/>
            <w:tcBorders>
              <w:bottom w:val="single" w:sz="12" w:space="0" w:color="000000"/>
            </w:tcBorders>
            <w:vAlign w:val="center"/>
          </w:tcPr>
          <w:p>
            <w:pPr>
              <w:pStyle w:val="TableContents"/>
              <w:bidi w:val="0"/>
              <w:spacing w:before="0" w:after="283"/>
              <w:jc w:val="center"/>
              <w:rPr>
                <w:b/>
                <w:sz w:val="20"/>
              </w:rPr>
            </w:pPr>
            <w:bookmarkStart w:id="5" w:name="xdx_908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300" w:type="dxa"/>
            <w:tcBorders>
              <w:bottom w:val="single" w:sz="12" w:space="0" w:color="000000"/>
            </w:tcBorders>
            <w:vAlign w:val="center"/>
          </w:tcPr>
          <w:p>
            <w:pPr>
              <w:pStyle w:val="TableContents"/>
              <w:bidi w:val="0"/>
              <w:spacing w:before="0" w:after="283"/>
              <w:jc w:val="center"/>
              <w:rPr>
                <w:b/>
                <w:sz w:val="20"/>
              </w:rPr>
            </w:pPr>
            <w:bookmarkStart w:id="6" w:name="xdx_909_edei--EntityFileNumber_c20260727"/>
            <w:bookmarkEnd w:id="6"/>
            <w:r>
              <w:rPr>
                <w:b/>
                <w:sz w:val="20"/>
              </w:rPr>
              <w:t>001-38762</w:t>
            </w:r>
          </w:p>
        </w:tc>
        <w:tc>
          <w:tcPr>
            <w:tcW w:w="60" w:type="dxa"/>
            <w:tcBorders/>
            <w:tcMar>
              <w:bottom w:w="0" w:type="dxa"/>
            </w:tcMar>
            <w:vAlign w:val="center"/>
          </w:tcPr>
          <w:p>
            <w:pPr>
              <w:pStyle w:val="TableContents"/>
              <w:bidi w:val="0"/>
              <w:spacing w:before="0" w:after="283"/>
              <w:jc w:val="left"/>
              <w:rPr/>
            </w:pPr>
            <w:r>
              <w:rPr/>
              <w:t> </w:t>
            </w:r>
          </w:p>
        </w:tc>
        <w:tc>
          <w:tcPr>
            <w:tcW w:w="1970" w:type="dxa"/>
            <w:tcBorders>
              <w:bottom w:val="single" w:sz="12" w:space="0" w:color="000000"/>
            </w:tcBorders>
            <w:vAlign w:val="center"/>
          </w:tcPr>
          <w:p>
            <w:pPr>
              <w:pStyle w:val="TableContents"/>
              <w:bidi w:val="0"/>
              <w:spacing w:before="0" w:after="283"/>
              <w:jc w:val="center"/>
              <w:rPr>
                <w:b/>
                <w:sz w:val="20"/>
              </w:rPr>
            </w:pPr>
            <w:bookmarkStart w:id="7" w:name="xdx_90A_edei--EntityTaxIdentificationNum"/>
            <w:bookmarkEnd w:id="7"/>
            <w:r>
              <w:rPr>
                <w:b/>
                <w:sz w:val="20"/>
              </w:rPr>
              <w:t>82-3364020</w:t>
            </w:r>
          </w:p>
        </w:tc>
      </w:tr>
      <w:tr>
        <w:trPr/>
        <w:tc>
          <w:tcPr>
            <w:tcW w:w="2660" w:type="dxa"/>
            <w:tcBorders/>
            <w:tcMar>
              <w:bottom w:w="0" w:type="dxa"/>
            </w:tcMar>
            <w:vAlign w:val="center"/>
          </w:tcPr>
          <w:p>
            <w:pPr>
              <w:pStyle w:val="TableContents"/>
              <w:bidi w:val="0"/>
              <w:spacing w:before="0" w:after="283"/>
              <w:jc w:val="center"/>
              <w:rPr>
                <w:b/>
                <w:sz w:val="20"/>
              </w:rPr>
            </w:pPr>
            <w:r>
              <w:rPr>
                <w:b/>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2300" w:type="dxa"/>
            <w:tcBorders/>
            <w:tcMar>
              <w:bottom w:w="0" w:type="dxa"/>
            </w:tcMar>
            <w:vAlign w:val="center"/>
          </w:tcPr>
          <w:p>
            <w:pPr>
              <w:pStyle w:val="TableContents"/>
              <w:bidi w:val="0"/>
              <w:spacing w:before="0" w:after="283"/>
              <w:jc w:val="center"/>
              <w:rPr>
                <w:b/>
                <w:sz w:val="20"/>
              </w:rPr>
            </w:pPr>
            <w:r>
              <w:rPr>
                <w:b/>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970" w:type="dxa"/>
            <w:tcBorders/>
            <w:tcMar>
              <w:bottom w:w="0" w:type="dxa"/>
            </w:tcMar>
            <w:vAlign w:val="center"/>
          </w:tcPr>
          <w:p>
            <w:pPr>
              <w:pStyle w:val="TableContents"/>
              <w:bidi w:val="0"/>
              <w:jc w:val="center"/>
              <w:rPr>
                <w:b/>
                <w:sz w:val="20"/>
              </w:rPr>
            </w:pPr>
            <w:r>
              <w:rPr>
                <w:b/>
                <w:sz w:val="20"/>
              </w:rPr>
              <w:t>(IRS Employer</w:t>
            </w:r>
          </w:p>
          <w:p>
            <w:pPr>
              <w:pStyle w:val="TableContents"/>
              <w:bidi w:val="0"/>
              <w:spacing w:before="0" w:after="283"/>
              <w:jc w:val="center"/>
              <w:rPr>
                <w:b/>
                <w:sz w:val="20"/>
              </w:rPr>
            </w:pPr>
            <w:r>
              <w:rPr>
                <w:b/>
                <w:sz w:val="20"/>
              </w:rPr>
              <w:t>Identification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F_edei--EntityAddressAddressLine1_"/>
      <w:bookmarkEnd w:id="8"/>
      <w:r>
        <w:rPr>
          <w:rFonts w:ascii="Times New Roman;Times;Serif" w:hAnsi="Times New Roman;Times;Serif"/>
          <w:b w:val="false"/>
          <w:i w:val="false"/>
          <w:caps w:val="false"/>
          <w:smallCaps w:val="false"/>
          <w:sz w:val="20"/>
        </w:rPr>
        <w:t xml:space="preserve">850 New Burton Road, </w:t>
      </w:r>
      <w:bookmarkStart w:id="9" w:name="xdx_905_edei--EntityAddressAddressLine2_"/>
      <w:bookmarkEnd w:id="9"/>
      <w:r>
        <w:rPr>
          <w:rFonts w:ascii="Times New Roman;Times;Serif" w:hAnsi="Times New Roman;Times;Serif"/>
          <w:b w:val="false"/>
          <w:i w:val="false"/>
          <w:caps w:val="false"/>
          <w:smallCaps w:val="false"/>
          <w:sz w:val="20"/>
        </w:rPr>
        <w:t>Suite 201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0" w:name="xdx_903_edei--EntityAddressCityOrTown_c2"/>
      <w:bookmarkEnd w:id="10"/>
      <w:r>
        <w:rPr>
          <w:rFonts w:ascii="Times New Roman;Times;Serif" w:hAnsi="Times New Roman;Times;Serif"/>
          <w:b w:val="false"/>
          <w:i w:val="false"/>
          <w:caps w:val="false"/>
          <w:smallCaps w:val="false"/>
          <w:sz w:val="20"/>
        </w:rPr>
        <w:t xml:space="preserve">Dover, </w:t>
      </w:r>
      <w:bookmarkStart w:id="11" w:name="xdx_90A_edei--EntityAddressStateOrProvin"/>
      <w:bookmarkEnd w:id="11"/>
      <w:r>
        <w:rPr>
          <w:rFonts w:ascii="Times New Roman;Times;Serif" w:hAnsi="Times New Roman;Times;Serif"/>
          <w:b w:val="false"/>
          <w:i w:val="false"/>
          <w:caps w:val="false"/>
          <w:smallCaps w:val="false"/>
          <w:sz w:val="20"/>
        </w:rPr>
        <w:t xml:space="preserve">Delaware </w:t>
      </w:r>
      <w:bookmarkStart w:id="12" w:name="xdx_90C_edei--EntityAddressPostalZipCode"/>
      <w:bookmarkEnd w:id="12"/>
      <w:r>
        <w:rPr>
          <w:rFonts w:ascii="Times New Roman;Times;Serif" w:hAnsi="Times New Roman;Times;Serif"/>
          <w:b w:val="false"/>
          <w:i w:val="false"/>
          <w:caps w:val="false"/>
          <w:smallCaps w:val="false"/>
          <w:sz w:val="20"/>
        </w:rPr>
        <w:t>19904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3" w:name="xdx_90F_edei--CityAreaCode_c20260727__20"/>
      <w:bookmarkEnd w:id="13"/>
      <w:r>
        <w:rPr>
          <w:rFonts w:ascii="Times New Roman;Times;Serif" w:hAnsi="Times New Roman;Times;Serif"/>
          <w:b w:val="false"/>
          <w:i w:val="false"/>
          <w:caps w:val="false"/>
          <w:smallCaps w:val="false"/>
          <w:sz w:val="20"/>
        </w:rPr>
        <w:t xml:space="preserve">972) </w:t>
      </w:r>
      <w:bookmarkStart w:id="14" w:name="xdx_904_edei--LocalPhoneNumber_c20260727"/>
      <w:bookmarkEnd w:id="14"/>
      <w:r>
        <w:rPr>
          <w:rFonts w:ascii="Times New Roman;Times;Serif" w:hAnsi="Times New Roman;Times;Serif"/>
          <w:b w:val="false"/>
          <w:i w:val="false"/>
          <w:caps w:val="false"/>
          <w:smallCaps w:val="false"/>
          <w:sz w:val="20"/>
        </w:rPr>
        <w:t>52-437-4900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1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both"/>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2_edei--SolicitingMaterial_c202607"/>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7_edei--PreCommencementTenderOffer"/>
            <w:bookmarkEnd w:id="17"/>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B_edei--PreCommencementIssuerTende"/>
            <w:bookmarkEnd w:id="18"/>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9225" w:type="dxa"/>
        <w:jc w:val="left"/>
        <w:tblInd w:w="0" w:type="dxa"/>
        <w:tblLayout w:type="fixed"/>
        <w:tblCellMar>
          <w:top w:w="0" w:type="dxa"/>
          <w:left w:w="0" w:type="dxa"/>
          <w:bottom w:w="28" w:type="dxa"/>
          <w:right w:w="0" w:type="dxa"/>
        </w:tblCellMar>
      </w:tblPr>
      <w:tblGrid>
        <w:gridCol w:w="3785"/>
        <w:gridCol w:w="60"/>
        <w:gridCol w:w="1610"/>
        <w:gridCol w:w="60"/>
        <w:gridCol w:w="3710"/>
      </w:tblGrid>
      <w:tr>
        <w:trPr/>
        <w:tc>
          <w:tcPr>
            <w:tcW w:w="3785"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785" w:type="dxa"/>
            <w:tcBorders/>
            <w:shd w:fill="CCEEFF" w:val="clear"/>
            <w:tcMar>
              <w:bottom w:w="0" w:type="dxa"/>
            </w:tcMar>
            <w:vAlign w:val="center"/>
          </w:tcPr>
          <w:p>
            <w:pPr>
              <w:pStyle w:val="TableContents"/>
              <w:bidi w:val="0"/>
              <w:spacing w:before="0" w:after="283"/>
              <w:jc w:val="center"/>
              <w:rPr>
                <w:b/>
                <w:sz w:val="20"/>
              </w:rPr>
            </w:pPr>
            <w:bookmarkStart w:id="19" w:name="xdx_900_edei--Security12bTitle_c20260727"/>
            <w:bookmarkEnd w:id="19"/>
            <w:r>
              <w:rPr>
                <w:b/>
                <w:sz w:val="20"/>
              </w:rPr>
              <w:t>Common Stock, $0.0001 par value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10" w:type="dxa"/>
            <w:tcBorders/>
            <w:shd w:fill="CCEEFF" w:val="clear"/>
            <w:tcMar>
              <w:bottom w:w="0" w:type="dxa"/>
            </w:tcMar>
            <w:vAlign w:val="center"/>
          </w:tcPr>
          <w:p>
            <w:pPr>
              <w:pStyle w:val="TableContents"/>
              <w:bidi w:val="0"/>
              <w:spacing w:before="0" w:after="283"/>
              <w:jc w:val="center"/>
              <w:rPr>
                <w:b/>
                <w:sz w:val="20"/>
              </w:rPr>
            </w:pPr>
            <w:bookmarkStart w:id="20" w:name="xdx_90A_edei--TradingSymbol_c20260727__2"/>
            <w:bookmarkEnd w:id="20"/>
            <w:r>
              <w:rPr>
                <w:b/>
                <w:sz w:val="20"/>
              </w:rPr>
              <w:t>PHGE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b/>
                <w:sz w:val="20"/>
              </w:rPr>
            </w:pPr>
            <w:bookmarkStart w:id="21" w:name="xdx_90C_edei--SecurityExchangeName_c2026"/>
            <w:bookmarkEnd w:id="21"/>
            <w:r>
              <w:rPr>
                <w:b/>
                <w:sz w:val="20"/>
              </w:rPr>
              <w:t>NYSE American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2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April 10, 2026, BiomX Inc. (the “Company”) completed the acquisition of ZorroNet Ltd. (“Zoronet”), and, as part of the consideration therefor, issued to Water IO Ltd. (“Water IO”), the former owner of Zorronet, a promissory note in the original principal amount of $1,250,000, with an original maturity date of July 10, 2026 (the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27, 2026, the Company and Water IO entered into Amendment No. 1 and Waiver, dated as of July 24, 2026, to the Note (the “Amendment”) pursuant to which (i) the maturity date of the Note was extended from July 10, 2026 to November 1, 2026; (ii) the Company agreed to pay $250,000 of principal within two business days after execution of the Amendment, and the remaining principal in four equal monthly installments of $250,000 each on August 1, September 1, October 1 and November 1, 2026, with the outstanding balance continuing to bear interest at the short-term Applicable Federal Rate payable with the final installment; (iii) in full satisfaction of interest accrued through the date of the Amendment and as consideration for the delay in payment and the waiver and extension, the Company agreed to issue to Water IO 800,000 restricted shares of common stock, subject to clearance of an additional listing application with the NYSE American and written confirmation by each party of its corporate approvals, with an August 31, 2026 longstop after which such amount is payable in cash and no shares will be issued; and (iv) Water IO irrevocably waived, retroactively to the original maturity date, any default, event of default or right of acceleration arising from the non-payment of the Note at its original maturity date, and confirmed that the Note has not been accelerated.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independent member of the Company’s Board of Directors also serves as an independent director of Water IO. The Amendment was approved by the Company’s Board of Directors, including the Audit Committee, in accordance with the Company’s related person transaction policy, with the interested director abstaining.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Amendment does not purport to be complete and is qualified in its entirety by reference to the full text of the Amendment, a copy of which is attached hereto as Exhibit 10.1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Unregistered Sales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1.01 of this Current Report on Form 8-K is incorporated by reference into this Item 3.02.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issued pursuant to the Amendment will be issued without registration under the Securities Act of 1933, as amended, in reliance upon the exemption from registration provided by Section 4(a)(2) thereof and/or Regulation S thereunder, and will constitute restricted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51"/>
        <w:gridCol w:w="60"/>
        <w:gridCol w:w="9194"/>
      </w:tblGrid>
      <w:tr>
        <w:trPr/>
        <w:tc>
          <w:tcPr>
            <w:tcW w:w="951" w:type="dxa"/>
            <w:tcBorders>
              <w:bottom w:val="single" w:sz="12"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194" w:type="dxa"/>
            <w:tcBorders>
              <w:bottom w:val="single" w:sz="12" w:space="0" w:color="000000"/>
            </w:tcBorders>
            <w:vAlign w:val="center"/>
          </w:tcPr>
          <w:p>
            <w:pPr>
              <w:pStyle w:val="TableContents"/>
              <w:bidi w:val="0"/>
              <w:spacing w:before="0" w:after="283"/>
              <w:jc w:val="center"/>
              <w:rPr>
                <w:b/>
                <w:sz w:val="20"/>
              </w:rPr>
            </w:pPr>
            <w:r>
              <w:rPr>
                <w:b/>
                <w:sz w:val="20"/>
              </w:rPr>
              <w:t>Description</w:t>
            </w:r>
          </w:p>
        </w:tc>
      </w:tr>
      <w:tr>
        <w:trPr/>
        <w:tc>
          <w:tcPr>
            <w:tcW w:w="951" w:type="dxa"/>
            <w:tcBorders/>
            <w:shd w:fill="CCEEFF" w:val="clear"/>
            <w:tcMar>
              <w:bottom w:w="0" w:type="dxa"/>
            </w:tcMar>
            <w:vAlign w:val="center"/>
          </w:tcPr>
          <w:p>
            <w:pPr>
              <w:pStyle w:val="TableContents"/>
              <w:bidi w:val="0"/>
              <w:spacing w:before="0" w:after="283"/>
              <w:jc w:val="center"/>
              <w:rPr>
                <w:b/>
                <w:sz w:val="20"/>
              </w:rPr>
            </w:pPr>
            <w:r>
              <w:rPr>
                <w:b/>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94" w:type="dxa"/>
            <w:tcBorders/>
            <w:shd w:fill="CCEEFF" w:val="clear"/>
            <w:tcMar>
              <w:bottom w:w="0" w:type="dxa"/>
            </w:tcMar>
            <w:vAlign w:val="center"/>
          </w:tcPr>
          <w:p>
            <w:pPr>
              <w:pStyle w:val="TableContents"/>
              <w:bidi w:val="0"/>
              <w:spacing w:before="0" w:after="283"/>
              <w:jc w:val="both"/>
              <w:rPr/>
            </w:pPr>
            <w:hyperlink w:anchor="ea029942301ex10-1.htm">
              <w:r>
                <w:rPr>
                  <w:rStyle w:val="InternetLink"/>
                  <w:b/>
                  <w:sz w:val="20"/>
                </w:rPr>
                <w:t>Amendment No. 1 and Waiver to Promissory Note, dated as of July 24, 2026, by and between BiomX Inc. and Water IO Ltd.</w:t>
              </w:r>
            </w:hyperlink>
          </w:p>
        </w:tc>
      </w:tr>
      <w:tr>
        <w:trPr/>
        <w:tc>
          <w:tcPr>
            <w:tcW w:w="951" w:type="dxa"/>
            <w:tcBorders/>
            <w:shd w:fill="FFFFFF" w:val="clear"/>
            <w:tcMar>
              <w:bottom w:w="0" w:type="dxa"/>
            </w:tcMar>
            <w:vAlign w:val="center"/>
          </w:tcPr>
          <w:p>
            <w:pPr>
              <w:pStyle w:val="TableContents"/>
              <w:bidi w:val="0"/>
              <w:spacing w:before="0" w:after="283"/>
              <w:jc w:val="center"/>
              <w:rPr>
                <w:b/>
                <w:sz w:val="20"/>
              </w:rPr>
            </w:pPr>
            <w:r>
              <w:rPr>
                <w:b/>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94" w:type="dxa"/>
            <w:tcBorders/>
            <w:shd w:fill="FFFFFF" w:val="clear"/>
            <w:tcMar>
              <w:bottom w:w="0" w:type="dxa"/>
            </w:tcMar>
            <w:vAlign w:val="center"/>
          </w:tcPr>
          <w:p>
            <w:pPr>
              <w:pStyle w:val="TableContents"/>
              <w:bidi w:val="0"/>
              <w:spacing w:before="0" w:after="283"/>
              <w:jc w:val="left"/>
              <w:rPr>
                <w:b/>
                <w:sz w:val="20"/>
              </w:rPr>
            </w:pPr>
            <w:r>
              <w:rPr>
                <w:b/>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4485" w:type="dxa"/>
        <w:jc w:val="left"/>
        <w:tblInd w:w="0" w:type="dxa"/>
        <w:tblLayout w:type="fixed"/>
        <w:tblCellMar>
          <w:top w:w="0" w:type="dxa"/>
          <w:left w:w="0" w:type="dxa"/>
          <w:bottom w:w="0" w:type="dxa"/>
          <w:right w:w="0" w:type="dxa"/>
        </w:tblCellMar>
      </w:tblPr>
      <w:tblGrid>
        <w:gridCol w:w="1895"/>
        <w:gridCol w:w="635"/>
        <w:gridCol w:w="1955"/>
      </w:tblGrid>
      <w:tr>
        <w:trPr/>
        <w:tc>
          <w:tcPr>
            <w:tcW w:w="1895" w:type="dxa"/>
            <w:tcBorders/>
            <w:vAlign w:val="center"/>
          </w:tcPr>
          <w:p>
            <w:pPr>
              <w:pStyle w:val="TableContents"/>
              <w:bidi w:val="0"/>
              <w:spacing w:before="0" w:after="283"/>
              <w:jc w:val="left"/>
              <w:rPr/>
            </w:pPr>
            <w:r>
              <w:rPr/>
              <w:t> </w:t>
            </w:r>
          </w:p>
        </w:tc>
        <w:tc>
          <w:tcPr>
            <w:tcW w:w="2590" w:type="dxa"/>
            <w:gridSpan w:val="2"/>
            <w:tcBorders/>
            <w:vAlign w:val="center"/>
          </w:tcPr>
          <w:p>
            <w:pPr>
              <w:pStyle w:val="TableContents"/>
              <w:bidi w:val="0"/>
              <w:spacing w:before="0" w:after="283"/>
              <w:jc w:val="left"/>
              <w:rPr>
                <w:b/>
                <w:sz w:val="20"/>
              </w:rPr>
            </w:pPr>
            <w:r>
              <w:rPr>
                <w:b/>
                <w:sz w:val="20"/>
              </w:rPr>
              <w:t>BIOMX INC.</w:t>
            </w:r>
          </w:p>
        </w:tc>
      </w:tr>
      <w:tr>
        <w:trPr/>
        <w:tc>
          <w:tcPr>
            <w:tcW w:w="1895" w:type="dxa"/>
            <w:tcBorders/>
            <w:vAlign w:val="center"/>
          </w:tcPr>
          <w:p>
            <w:pPr>
              <w:pStyle w:val="TableContents"/>
              <w:bidi w:val="0"/>
              <w:spacing w:before="0" w:after="283"/>
              <w:jc w:val="left"/>
              <w:rPr/>
            </w:pPr>
            <w:r>
              <w:rPr/>
              <w:t>Date: July 28, 2026</w:t>
            </w:r>
          </w:p>
        </w:tc>
        <w:tc>
          <w:tcPr>
            <w:tcW w:w="2590" w:type="dxa"/>
            <w:gridSpan w:val="2"/>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 xml:space="preserve">By: </w:t>
            </w:r>
          </w:p>
        </w:tc>
        <w:tc>
          <w:tcPr>
            <w:tcW w:w="195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Michael Oster</w:t>
            </w:r>
          </w:p>
        </w:tc>
      </w:tr>
      <w:tr>
        <w:trPr/>
        <w:tc>
          <w:tcPr>
            <w:tcW w:w="189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 xml:space="preserve">Name:  </w:t>
            </w:r>
          </w:p>
        </w:tc>
        <w:tc>
          <w:tcPr>
            <w:tcW w:w="1955" w:type="dxa"/>
            <w:tcBorders/>
            <w:vAlign w:val="center"/>
          </w:tcPr>
          <w:p>
            <w:pPr>
              <w:pStyle w:val="TableContents"/>
              <w:bidi w:val="0"/>
              <w:spacing w:before="0" w:after="283"/>
              <w:jc w:val="left"/>
              <w:rPr>
                <w:sz w:val="20"/>
              </w:rPr>
            </w:pPr>
            <w:r>
              <w:rPr>
                <w:sz w:val="20"/>
              </w:rPr>
              <w:t>Michael Oster</w:t>
            </w:r>
          </w:p>
        </w:tc>
      </w:tr>
      <w:tr>
        <w:trPr/>
        <w:tc>
          <w:tcPr>
            <w:tcW w:w="189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 xml:space="preserve">Title: </w:t>
            </w:r>
          </w:p>
        </w:tc>
        <w:tc>
          <w:tcPr>
            <w:tcW w:w="1955"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3" w:name="ea029942301ex10-1.htm"/>
      <w:bookmarkStart w:id="24" w:name="ksea029942301ex101"/>
      <w:bookmarkEnd w:id="23"/>
      <w:bookmarkEnd w:id="24"/>
      <w:r>
        <w:rPr>
          <w:rFonts w:ascii="Times New Roman;Times;Serif" w:hAnsi="Times New Roman;Times;Serif"/>
          <w:b/>
          <w:i w:val="false"/>
          <w:caps w:val="false"/>
          <w:smallCaps w:val="false"/>
          <w:sz w:val="20"/>
        </w:rPr>
        <w:t>Exhibit 10.1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1 AND WAIVER TO PROMISSORY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1 and Waiver (this “Amendment”), dated as of July 24, 2026, is entered into by and between BiomX Inc., a Delaware corporation (the “Maker”), and Water IO Ltd., a company organized under the laws of the State of Israel (the “Holder”), with respect to the Promissory Note, dated April 10, 2026, in the original principal amount of $1,250,000, issued by the Maker to the Holder (the “Note”) as part of the consideration under the Share Purchase Agreement relating to the acquisition of ZorroNet Ltd. Capitalized terms used but not defined herein have the meanings ascribed to them in the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Extension of Maturity. The Maturity Date of the Note is hereby extended from July 7, 2026 to November 1, 2026, the date of the final installment under Section 3. All references in the Note to the Maturity Date shall refer to the Maturity Date as so extended.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Immediate Payment. Within two (2) business days after the date of this Amendment, the Maker shall pay to the Holder $250,000 in cash on account of the principal amount of the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Monthly Installments. The remaining principal amount of the Note shall be repaid in cash in four (4) equal monthly installments of $250,000 each, on August 1, 2026, September 1, 2026, October 1, 2026 and November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Share Issuance. In full satisfaction of all interest accrued on the Note through the date of this Amendment, and as consideration for the delay in payment of the Note and the waiver and extension provided herein, the Maker shall issue to the Holder 800,000 shares of the Maker’s common stock, par value $0.0001 per share (the “Common Stock”), promptly upon, and subject to, (a) clearance of any additional listing application required by the NYSE American and (b) the confirmations contemplated by Section 7. The remaining principal balance shall continue to bear interest at the short-term Applicable Federal Rate, payable with the final installment.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Securities Matters. Any shares of Common Stock issued pursuant to Section 4 will be issued without registration under the Securities Act of 1933, as amended (the “Securities Act”), in reliance upon the exemption provided by Section 4(a)(2) thereof and/or Regulation S thereunder, will constitute “restricted securities” within the meaning of Rule 144 under the Securities Act, and will bear customary restrictive legends. The Holder represents and warrants that it will acquire any such shares for its own account, for investment and not with a view to distribution, and that it is either an “accredited investor” within the meaning of Regulation D under the Securities Act or not a “U.S. person” within the meaning of Regulation S. Nothing herein grants the Holder any registration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Waiver. The Holder hereby irrevocably waives, effective retroactively to July 7, 2026, any default, event of default or right of acceleration arising from or relating to the non-payment of the Note at the original Maturity Date, and confirms that the Note has not been accelerated and that no default or event of default exists under the Note as of the date hereof after giving effect to this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Corporate Approvals; Effectiveness. Sections 1, 2, 3 and 6 of this Amendment are effective upon execution and are not subject to any condition. Section 4 shall become operative upon the later of (a) clearance of any additional listing application required by the NYSE American and (b) delivery by each party to the other of written confirmation (email sufficing) that all corporate approvals required on its part for the issuance and acceptance of the shares, including, in the case of the Holder, any approvals required under the Israeli Companies Law, 5759-1999, have been obtained. If such confirmations have not been delivered by August 31, 2026, the interest accrued on the Note through the date of this Amendment shall instead be payable in cash with the final installment, and the share issuance under Section 4 shall not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Authority. Each party represents and warrants to the other that the execution, delivery and performance of this Amendment (other than, in the case of Section 4, as provided in Section 7) have been duly authorized by all necessary corporate action of such party, and that this Amendment constitutes the valid and binding obligation of such party, enforceable against it in accordance with its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Ratification; No Novation. Except as expressly amended hereby, the Note remains unmodified and in full force and effect and is hereby ratified and confirmed in all respects. This Amendment does not constitute a novation of the Note or of any obligation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Governing Law. This Amendment shall be governed by and construed in accordance with the laws governing the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Counterparts. This Amendment may be executed in counterparts, including by electronic signature and by exchange of signed copies in .pdf form by electronic mail, each of which shall be deemed an original and all of which together shall constitute one instrument.</w:t>
      </w:r>
    </w:p>
    <w:p>
      <w:pPr>
        <w:pStyle w:val="TextBody"/>
        <w:bidi w:val="0"/>
        <w:spacing w:before="0" w:after="0"/>
        <w:ind w:left="0" w:right="0" w:hanging="0"/>
        <w:jc w:val="both"/>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650"/>
        <w:gridCol w:w="1940"/>
        <w:gridCol w:w="75"/>
      </w:tblGrid>
      <w:tr>
        <w:trPr/>
        <w:tc>
          <w:tcPr>
            <w:tcW w:w="2590" w:type="dxa"/>
            <w:gridSpan w:val="2"/>
            <w:tcBorders/>
            <w:vAlign w:val="center"/>
          </w:tcPr>
          <w:p>
            <w:pPr>
              <w:pStyle w:val="TableContents"/>
              <w:bidi w:val="0"/>
              <w:spacing w:before="0" w:after="283"/>
              <w:jc w:val="left"/>
              <w:rPr>
                <w:b/>
                <w:sz w:val="20"/>
              </w:rPr>
            </w:pPr>
            <w:r>
              <w:rPr>
                <w:b/>
                <w:sz w:val="20"/>
              </w:rPr>
              <w:t>BIOMX INC.</w:t>
            </w:r>
          </w:p>
        </w:tc>
        <w:tc>
          <w:tcPr>
            <w:tcW w:w="75" w:type="dxa"/>
            <w:tcBorders/>
            <w:vAlign w:val="center"/>
          </w:tcPr>
          <w:p>
            <w:pPr>
              <w:pStyle w:val="TableContents"/>
              <w:bidi w:val="0"/>
              <w:spacing w:before="0" w:after="283"/>
              <w:jc w:val="left"/>
              <w:rPr/>
            </w:pPr>
            <w:r>
              <w:rPr/>
              <w:t> </w:t>
            </w:r>
          </w:p>
        </w:tc>
      </w:tr>
      <w:tr>
        <w:trPr/>
        <w:tc>
          <w:tcPr>
            <w:tcW w:w="259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sz w:val="20"/>
              </w:rPr>
            </w:pPr>
            <w:r>
              <w:rPr>
                <w:sz w:val="20"/>
              </w:rPr>
              <w:t xml:space="preserve">By: </w:t>
            </w:r>
          </w:p>
        </w:tc>
        <w:tc>
          <w:tcPr>
            <w:tcW w:w="194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Michael Oster</w:t>
            </w:r>
          </w:p>
        </w:tc>
        <w:tc>
          <w:tcPr>
            <w:tcW w:w="7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sz w:val="20"/>
              </w:rPr>
            </w:pPr>
            <w:r>
              <w:rPr>
                <w:sz w:val="20"/>
              </w:rPr>
              <w:t xml:space="preserve">Name:  </w:t>
            </w:r>
          </w:p>
        </w:tc>
        <w:tc>
          <w:tcPr>
            <w:tcW w:w="1940" w:type="dxa"/>
            <w:tcBorders/>
            <w:vAlign w:val="center"/>
          </w:tcPr>
          <w:p>
            <w:pPr>
              <w:pStyle w:val="TableContents"/>
              <w:bidi w:val="0"/>
              <w:spacing w:before="0" w:after="283"/>
              <w:jc w:val="left"/>
              <w:rPr>
                <w:sz w:val="20"/>
              </w:rPr>
            </w:pPr>
            <w:r>
              <w:rPr>
                <w:sz w:val="20"/>
              </w:rPr>
              <w:t>Michael Oster</w:t>
            </w:r>
          </w:p>
        </w:tc>
        <w:tc>
          <w:tcPr>
            <w:tcW w:w="7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sz w:val="20"/>
              </w:rPr>
            </w:pPr>
            <w:r>
              <w:rPr>
                <w:sz w:val="20"/>
              </w:rPr>
              <w:t xml:space="preserve">Title: </w:t>
            </w:r>
          </w:p>
        </w:tc>
        <w:tc>
          <w:tcPr>
            <w:tcW w:w="1940" w:type="dxa"/>
            <w:tcBorders/>
            <w:vAlign w:val="center"/>
          </w:tcPr>
          <w:p>
            <w:pPr>
              <w:pStyle w:val="TableContents"/>
              <w:bidi w:val="0"/>
              <w:spacing w:before="0" w:after="283"/>
              <w:jc w:val="left"/>
              <w:rPr>
                <w:sz w:val="20"/>
              </w:rPr>
            </w:pPr>
            <w:r>
              <w:rPr>
                <w:sz w:val="20"/>
              </w:rPr>
              <w:t>Chief Executive Officer</w:t>
            </w:r>
          </w:p>
        </w:tc>
        <w:tc>
          <w:tcPr>
            <w:tcW w:w="7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590" w:type="dxa"/>
            <w:gridSpan w:val="2"/>
            <w:tcBorders/>
            <w:vAlign w:val="center"/>
          </w:tcPr>
          <w:p>
            <w:pPr>
              <w:pStyle w:val="TableContents"/>
              <w:bidi w:val="0"/>
              <w:spacing w:before="0" w:after="283"/>
              <w:jc w:val="left"/>
              <w:rPr>
                <w:b/>
                <w:sz w:val="20"/>
              </w:rPr>
            </w:pPr>
            <w:r>
              <w:rPr>
                <w:b/>
                <w:sz w:val="20"/>
              </w:rPr>
              <w:t>WATER IO LTD.</w:t>
            </w:r>
          </w:p>
        </w:tc>
        <w:tc>
          <w:tcPr>
            <w:tcW w:w="75" w:type="dxa"/>
            <w:tcBorders/>
            <w:vAlign w:val="center"/>
          </w:tcPr>
          <w:p>
            <w:pPr>
              <w:pStyle w:val="TableContents"/>
              <w:bidi w:val="0"/>
              <w:spacing w:before="0" w:after="283"/>
              <w:jc w:val="left"/>
              <w:rPr/>
            </w:pPr>
            <w:r>
              <w:rPr/>
              <w:t> </w:t>
            </w:r>
          </w:p>
        </w:tc>
      </w:tr>
      <w:tr>
        <w:trPr/>
        <w:tc>
          <w:tcPr>
            <w:tcW w:w="259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sz w:val="20"/>
              </w:rPr>
            </w:pPr>
            <w:r>
              <w:rPr>
                <w:sz w:val="20"/>
              </w:rPr>
              <w:t>By:</w:t>
            </w:r>
          </w:p>
        </w:tc>
        <w:tc>
          <w:tcPr>
            <w:tcW w:w="194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Menachem Shalom</w:t>
            </w:r>
          </w:p>
        </w:tc>
        <w:tc>
          <w:tcPr>
            <w:tcW w:w="7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sz w:val="20"/>
              </w:rPr>
            </w:pPr>
            <w:r>
              <w:rPr>
                <w:sz w:val="20"/>
              </w:rPr>
              <w:t>Name:</w:t>
            </w:r>
          </w:p>
        </w:tc>
        <w:tc>
          <w:tcPr>
            <w:tcW w:w="1940" w:type="dxa"/>
            <w:tcBorders/>
            <w:vAlign w:val="center"/>
          </w:tcPr>
          <w:p>
            <w:pPr>
              <w:pStyle w:val="TableContents"/>
              <w:bidi w:val="0"/>
              <w:spacing w:before="0" w:after="283"/>
              <w:jc w:val="left"/>
              <w:rPr>
                <w:sz w:val="20"/>
              </w:rPr>
            </w:pPr>
            <w:r>
              <w:rPr>
                <w:sz w:val="20"/>
              </w:rPr>
              <w:t>Menachem Shalom</w:t>
            </w:r>
          </w:p>
        </w:tc>
        <w:tc>
          <w:tcPr>
            <w:tcW w:w="7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sz w:val="20"/>
              </w:rPr>
            </w:pPr>
            <w:r>
              <w:rPr>
                <w:sz w:val="20"/>
              </w:rPr>
              <w:t>Title:</w:t>
            </w:r>
          </w:p>
        </w:tc>
        <w:tc>
          <w:tcPr>
            <w:tcW w:w="1940" w:type="dxa"/>
            <w:tcBorders/>
            <w:vAlign w:val="center"/>
          </w:tcPr>
          <w:p>
            <w:pPr>
              <w:pStyle w:val="TableContents"/>
              <w:bidi w:val="0"/>
              <w:spacing w:before="0" w:after="283"/>
              <w:jc w:val="left"/>
              <w:rPr>
                <w:sz w:val="20"/>
              </w:rPr>
            </w:pPr>
            <w:r>
              <w:rPr>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1723</Words>
  <Characters>8971</Characters>
  <CharactersWithSpaces>10695</CharactersWithSpaces>
  <Paragraphs>189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