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ind w:left="3980" w:right="1120" w:hanging="2854"/>
        <w:spacing w:after="0" w:line="503" w:lineRule="auto"/>
        <w:tabs>
          <w:tab w:leader="none" w:pos="13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b w:val="1"/>
          <w:bCs w:val="1"/>
          <w:u w:val="single" w:color="auto"/>
          <w:color w:val="auto"/>
        </w:rPr>
        <w:t>December 31, 2025</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rFonts w:ascii="MS PGothic" w:cs="MS PGothic" w:eastAsia="MS PGothic" w:hAnsi="MS PGothic"/>
          <w:sz w:val="18"/>
          <w:szCs w:val="18"/>
          <w:color w:val="auto"/>
        </w:rPr>
      </w:pPr>
    </w:p>
    <w:p>
      <w:pPr>
        <w:ind w:left="1460" w:hanging="198"/>
        <w:spacing w:after="0"/>
        <w:tabs>
          <w:tab w:leader="none" w:pos="14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40" w:type="dxa"/>
            <w:vAlign w:val="bottom"/>
            <w:gridSpan w:val="5"/>
          </w:tcPr>
          <w:p>
            <w:pPr>
              <w:jc w:val="center"/>
              <w:ind w:left="341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tc>
        <w:tc>
          <w:tcPr>
            <w:tcW w:w="3500" w:type="dxa"/>
            <w:vAlign w:val="bottom"/>
          </w:tcPr>
          <w:p>
            <w:pPr>
              <w:spacing w:after="0"/>
              <w:rPr>
                <w:sz w:val="20"/>
                <w:szCs w:val="20"/>
                <w:color w:val="auto"/>
              </w:rPr>
            </w:pPr>
          </w:p>
        </w:tc>
      </w:tr>
      <w:tr>
        <w:trPr>
          <w:trHeight w:val="391"/>
        </w:trPr>
        <w:tc>
          <w:tcPr>
            <w:tcW w:w="7740" w:type="dxa"/>
            <w:vAlign w:val="bottom"/>
            <w:gridSpan w:val="5"/>
          </w:tcPr>
          <w:p>
            <w:pPr>
              <w:jc w:val="center"/>
              <w:ind w:left="3430"/>
              <w:spacing w:after="0"/>
              <w:rPr>
                <w:sz w:val="20"/>
                <w:szCs w:val="20"/>
                <w:color w:val="auto"/>
              </w:rPr>
            </w:pPr>
            <w:r>
              <w:rPr>
                <w:rFonts w:ascii="Times New Roman" w:cs="Times New Roman" w:eastAsia="Times New Roman" w:hAnsi="Times New Roman"/>
                <w:sz w:val="18"/>
                <w:szCs w:val="18"/>
                <w:color w:val="auto"/>
                <w:w w:val="99"/>
              </w:rPr>
              <w:t xml:space="preserve">Commission file number: </w:t>
            </w:r>
            <w:r>
              <w:rPr>
                <w:rFonts w:ascii="Times New Roman" w:cs="Times New Roman" w:eastAsia="Times New Roman" w:hAnsi="Times New Roman"/>
                <w:sz w:val="18"/>
                <w:szCs w:val="18"/>
                <w:b w:val="1"/>
                <w:bCs w:val="1"/>
                <w:color w:val="auto"/>
                <w:w w:val="99"/>
              </w:rPr>
              <w:t>001-38762</w:t>
            </w:r>
          </w:p>
        </w:tc>
        <w:tc>
          <w:tcPr>
            <w:tcW w:w="3500" w:type="dxa"/>
            <w:vAlign w:val="bottom"/>
          </w:tcPr>
          <w:p>
            <w:pPr>
              <w:spacing w:after="0"/>
              <w:rPr>
                <w:sz w:val="24"/>
                <w:szCs w:val="24"/>
                <w:color w:val="auto"/>
              </w:rPr>
            </w:pPr>
          </w:p>
        </w:tc>
      </w:tr>
      <w:tr>
        <w:trPr>
          <w:trHeight w:val="434"/>
        </w:trPr>
        <w:tc>
          <w:tcPr>
            <w:tcW w:w="6180" w:type="dxa"/>
            <w:vAlign w:val="bottom"/>
            <w:gridSpan w:val="3"/>
          </w:tcPr>
          <w:p>
            <w:pPr>
              <w:jc w:val="center"/>
              <w:ind w:left="4970"/>
              <w:spacing w:after="0"/>
              <w:rPr>
                <w:sz w:val="20"/>
                <w:szCs w:val="20"/>
                <w:color w:val="auto"/>
              </w:rPr>
            </w:pPr>
            <w:r>
              <w:rPr>
                <w:rFonts w:ascii="Times New Roman" w:cs="Times New Roman" w:eastAsia="Times New Roman" w:hAnsi="Times New Roman"/>
                <w:sz w:val="18"/>
                <w:szCs w:val="18"/>
                <w:b w:val="1"/>
                <w:bCs w:val="1"/>
                <w:color w:val="auto"/>
                <w:w w:val="99"/>
              </w:rPr>
              <w:t>BIOMX INC.</w:t>
            </w:r>
          </w:p>
        </w:tc>
        <w:tc>
          <w:tcPr>
            <w:tcW w:w="7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34"/>
        </w:trPr>
        <w:tc>
          <w:tcPr>
            <w:tcW w:w="7740" w:type="dxa"/>
            <w:vAlign w:val="bottom"/>
            <w:gridSpan w:val="5"/>
          </w:tcPr>
          <w:p>
            <w:pPr>
              <w:jc w:val="center"/>
              <w:ind w:left="34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00" w:type="dxa"/>
            <w:vAlign w:val="bottom"/>
          </w:tcPr>
          <w:p>
            <w:pPr>
              <w:spacing w:after="0"/>
              <w:rPr>
                <w:sz w:val="20"/>
                <w:szCs w:val="20"/>
                <w:color w:val="auto"/>
              </w:rPr>
            </w:pPr>
          </w:p>
        </w:tc>
      </w:tr>
      <w:tr>
        <w:trPr>
          <w:trHeight w:val="439"/>
        </w:trPr>
        <w:tc>
          <w:tcPr>
            <w:tcW w:w="7740" w:type="dxa"/>
            <w:vAlign w:val="bottom"/>
            <w:gridSpan w:val="5"/>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82-3364020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tcPr>
          <w:p>
            <w:pPr>
              <w:jc w:val="center"/>
              <w:ind w:right="19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40" w:type="dxa"/>
            <w:vAlign w:val="bottom"/>
            <w:gridSpan w:val="5"/>
          </w:tcPr>
          <w:p>
            <w:pPr>
              <w:jc w:val="center"/>
              <w:ind w:right="2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0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740" w:type="dxa"/>
            <w:vAlign w:val="bottom"/>
            <w:gridSpan w:val="5"/>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850 New Burton Road, Suite 201, Dover, DE</w:t>
            </w:r>
          </w:p>
        </w:tc>
        <w:tc>
          <w:tcPr>
            <w:tcW w:w="3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19904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tcPr>
          <w:p>
            <w:pPr>
              <w:jc w:val="center"/>
              <w:ind w:right="18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+972 545610935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82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2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7"/>
              </w:rPr>
              <w:t>PHGE</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r>
        <w:trPr>
          <w:trHeight w:val="4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On June 30, 2025, the last day of the Registrant’s most recently completed second fiscal quarter, the aggregate market value of the Registrant’s shares of Common Stock held by non-affiliates of the Registrant was $11,899,466 based on the closing sale price of the Registrant’s shares of Common Stock on</w:t>
      </w:r>
    </w:p>
    <w:p>
      <w:pPr>
        <w:sectPr>
          <w:pgSz w:w="11900" w:h="16854" w:orient="portrait"/>
          <w:cols w:equalWidth="0" w:num="1">
            <w:col w:w="11240"/>
          </w:cols>
          <w:pgMar w:left="320" w:top="509" w:right="339" w:bottom="0" w:gutter="0" w:footer="0" w:header="0"/>
        </w:sectPr>
      </w:pPr>
    </w:p>
    <w:bookmarkStart w:id="1" w:name="page2"/>
    <w:bookmarkEnd w:id="1"/>
    <w:p>
      <w:pPr>
        <w:ind w:right="520"/>
        <w:spacing w:after="0" w:line="282" w:lineRule="auto"/>
        <w:rPr>
          <w:sz w:val="20"/>
          <w:szCs w:val="20"/>
          <w:color w:val="auto"/>
        </w:rPr>
      </w:pPr>
      <w:r>
        <w:rPr>
          <w:rFonts w:ascii="Times New Roman" w:cs="Times New Roman" w:eastAsia="Times New Roman" w:hAnsi="Times New Roman"/>
          <w:sz w:val="18"/>
          <w:szCs w:val="18"/>
          <w:color w:val="auto"/>
        </w:rPr>
        <w:t>June 30, 2025 (the last trading day of the fiscal quarter) of $8.55 per share. The price of the Registrant’s shares of Common Stock was retroactively adjusted to reflect a 1-for-19 reverse stock split, which took effect on November 25,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shares of Common Stock as of February 16, 2026 was 1,593,703.</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with the Securities and Exchange Commission pursuant to Regulation 14A under the Securities Exchange Act of 1934, as amended, relating to the registrant’s 2025 Annual Meeting of Stockholders are incorporated herein by reference into Part III of this Annual Report on Form 10-K. The definitive proxy statement will be filed with the Securities and Exchange Commission not later than 120 days after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Annual Report on Form 10-K for the Year Ended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8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part I</w:t>
            </w:r>
          </w:p>
        </w:tc>
        <w:tc>
          <w:tcPr>
            <w:tcW w:w="1160" w:type="dxa"/>
            <w:vAlign w:val="bottom"/>
            <w:shd w:val="clear" w:color="auto" w:fill="CCEEFF"/>
          </w:tcPr>
          <w:p>
            <w:pPr>
              <w:spacing w:after="0"/>
              <w:rPr>
                <w:sz w:val="19"/>
                <w:szCs w:val="19"/>
                <w:color w:val="auto"/>
              </w:rPr>
            </w:pPr>
          </w:p>
        </w:tc>
      </w:tr>
      <w:tr>
        <w:trPr>
          <w:trHeight w:val="176"/>
        </w:trPr>
        <w:tc>
          <w:tcPr>
            <w:tcW w:w="40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9500" w:type="dxa"/>
            <w:vAlign w:val="bottom"/>
            <w:tcBorders>
              <w:top w:val="single" w:sz="8" w:color="CCEEFF"/>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1. BUSINESS</w:t>
            </w:r>
          </w:p>
        </w:tc>
        <w:tc>
          <w:tcPr>
            <w:tcW w:w="1160" w:type="dxa"/>
            <w:vAlign w:val="bottom"/>
            <w:tcBorders>
              <w:top w:val="single" w:sz="8" w:color="CCEEFF"/>
            </w:tcBorders>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1A. RISK FACTORS</w:t>
            </w:r>
          </w:p>
        </w:tc>
        <w:tc>
          <w:tcPr>
            <w:tcW w:w="7460" w:type="dxa"/>
            <w:vAlign w:val="bottom"/>
            <w:tcBorders>
              <w:bottom w:val="single" w:sz="8" w:color="CCEEFF"/>
            </w:tcBorders>
            <w:gridSpan w:val="22"/>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116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1C. CYBERSECURITY</w:t>
            </w:r>
          </w:p>
        </w:tc>
        <w:tc>
          <w:tcPr>
            <w:tcW w:w="7240" w:type="dxa"/>
            <w:vAlign w:val="bottom"/>
            <w:tcBorders>
              <w:bottom w:val="single" w:sz="8" w:color="CCEEFF"/>
            </w:tcBorders>
            <w:gridSpan w:val="21"/>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2. PROPERTIES</w:t>
            </w:r>
          </w:p>
        </w:tc>
        <w:tc>
          <w:tcPr>
            <w:tcW w:w="116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LEGAL PROCEEDINGS</w:t>
            </w:r>
          </w:p>
        </w:tc>
        <w:tc>
          <w:tcPr>
            <w:tcW w:w="6960" w:type="dxa"/>
            <w:vAlign w:val="bottom"/>
            <w:tcBorders>
              <w:bottom w:val="single" w:sz="8" w:color="CCEEFF"/>
            </w:tcBorders>
            <w:gridSpan w:val="19"/>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116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0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160" w:type="dxa"/>
            <w:vAlign w:val="bottom"/>
            <w:shd w:val="clear" w:color="auto" w:fill="CCEEFF"/>
          </w:tcPr>
          <w:p>
            <w:pPr>
              <w:spacing w:after="0"/>
              <w:rPr>
                <w:sz w:val="17"/>
                <w:szCs w:val="17"/>
                <w:color w:val="auto"/>
              </w:rPr>
            </w:pPr>
          </w:p>
        </w:tc>
      </w:tr>
      <w:tr>
        <w:trPr>
          <w:trHeight w:val="175"/>
        </w:trPr>
        <w:tc>
          <w:tcPr>
            <w:tcW w:w="4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9500" w:type="dxa"/>
            <w:vAlign w:val="bottom"/>
            <w:tcBorders>
              <w:top w:val="single" w:sz="8" w:color="CCEEFF"/>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w:t>
            </w:r>
          </w:p>
        </w:tc>
        <w:tc>
          <w:tcPr>
            <w:tcW w:w="1160" w:type="dxa"/>
            <w:vAlign w:val="bottom"/>
            <w:tcBorders>
              <w:top w:val="single" w:sz="8" w:color="CCEEFF"/>
            </w:tcBorders>
          </w:tcPr>
          <w:p>
            <w:pPr>
              <w:spacing w:after="0"/>
              <w:rPr>
                <w:sz w:val="15"/>
                <w:szCs w:val="15"/>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7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580" w:type="dxa"/>
            <w:vAlign w:val="bottom"/>
          </w:tcPr>
          <w:p>
            <w:pPr>
              <w:spacing w:after="0"/>
              <w:rPr>
                <w:sz w:val="17"/>
                <w:szCs w:val="17"/>
                <w:color w:val="auto"/>
              </w:rPr>
            </w:pPr>
          </w:p>
        </w:tc>
        <w:tc>
          <w:tcPr>
            <w:tcW w:w="116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6. [RESERVED]</w:t>
            </w:r>
          </w:p>
        </w:tc>
        <w:tc>
          <w:tcPr>
            <w:tcW w:w="7800" w:type="dxa"/>
            <w:vAlign w:val="bottom"/>
            <w:tcBorders>
              <w:bottom w:val="single" w:sz="8" w:color="CCEEFF"/>
            </w:tcBorders>
            <w:gridSpan w:val="23"/>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6"/>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w:t>
            </w:r>
          </w:p>
        </w:tc>
        <w:tc>
          <w:tcPr>
            <w:tcW w:w="1160" w:type="dxa"/>
            <w:vAlign w:val="bottom"/>
          </w:tcPr>
          <w:p>
            <w:pPr>
              <w:spacing w:after="0"/>
              <w:rPr>
                <w:sz w:val="15"/>
                <w:szCs w:val="15"/>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2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1080" w:type="dxa"/>
            <w:vAlign w:val="bottom"/>
            <w:gridSpan w:val="5"/>
          </w:tcPr>
          <w:p>
            <w:pPr>
              <w:spacing w:after="0"/>
              <w:rPr>
                <w:sz w:val="17"/>
                <w:szCs w:val="17"/>
                <w:color w:val="auto"/>
              </w:rPr>
            </w:pPr>
          </w:p>
        </w:tc>
        <w:tc>
          <w:tcPr>
            <w:tcW w:w="116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5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11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4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92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2580" w:type="dxa"/>
            <w:vAlign w:val="bottom"/>
            <w:tcBorders>
              <w:top w:val="single" w:sz="8" w:color="CCEEFF"/>
            </w:tcBorders>
            <w:gridSpan w:val="7"/>
          </w:tcPr>
          <w:p>
            <w:pPr>
              <w:spacing w:after="0"/>
              <w:rPr>
                <w:sz w:val="15"/>
                <w:szCs w:val="15"/>
                <w:color w:val="auto"/>
              </w:rPr>
            </w:pPr>
          </w:p>
        </w:tc>
        <w:tc>
          <w:tcPr>
            <w:tcW w:w="1160" w:type="dxa"/>
            <w:vAlign w:val="bottom"/>
            <w:tcBorders>
              <w:top w:val="single" w:sz="8" w:color="CCEEFF"/>
            </w:tcBorders>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6"/>
        </w:trPr>
        <w:tc>
          <w:tcPr>
            <w:tcW w:w="4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6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 FINANCIAL</w:t>
            </w:r>
          </w:p>
        </w:tc>
        <w:tc>
          <w:tcPr>
            <w:tcW w:w="900" w:type="dxa"/>
            <w:vAlign w:val="bottom"/>
            <w:tcBorders>
              <w:bottom w:val="single" w:sz="8" w:color="CCEEFF"/>
            </w:tcBorders>
            <w:gridSpan w:val="3"/>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96"/>
        </w:trPr>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340" w:type="dxa"/>
            <w:vAlign w:val="bottom"/>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DISCLOSURE</w:t>
            </w:r>
          </w:p>
        </w:tc>
        <w:tc>
          <w:tcPr>
            <w:tcW w:w="1160" w:type="dxa"/>
            <w:vAlign w:val="bottom"/>
            <w:shd w:val="clear" w:color="auto" w:fill="CCEEFF"/>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73</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116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5"/>
        </w:trPr>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5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11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9C. DISCLOSURE REGARDING FOREIGN JURISDICIONS THAT PREVENT INSPECTIONS</w:t>
            </w:r>
          </w:p>
        </w:tc>
        <w:tc>
          <w:tcPr>
            <w:tcW w:w="116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0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160" w:type="dxa"/>
            <w:vAlign w:val="bottom"/>
            <w:shd w:val="clear" w:color="auto" w:fill="CCEEFF"/>
          </w:tcPr>
          <w:p>
            <w:pPr>
              <w:spacing w:after="0"/>
              <w:rPr>
                <w:sz w:val="17"/>
                <w:szCs w:val="17"/>
                <w:color w:val="auto"/>
              </w:rPr>
            </w:pPr>
          </w:p>
        </w:tc>
      </w:tr>
      <w:tr>
        <w:trPr>
          <w:trHeight w:val="176"/>
        </w:trPr>
        <w:tc>
          <w:tcPr>
            <w:tcW w:w="4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9500" w:type="dxa"/>
            <w:vAlign w:val="bottom"/>
            <w:tcBorders>
              <w:top w:val="single" w:sz="8" w:color="CCEEFF"/>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1160" w:type="dxa"/>
            <w:vAlign w:val="bottom"/>
            <w:tcBorders>
              <w:top w:val="single" w:sz="8" w:color="CCEEFF"/>
            </w:tcBorders>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6"/>
        </w:trPr>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5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11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60" w:type="dxa"/>
            <w:vAlign w:val="bottom"/>
            <w:tcBorders>
              <w:bottom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w:t>
            </w:r>
          </w:p>
        </w:tc>
        <w:tc>
          <w:tcPr>
            <w:tcW w:w="74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116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75</w:t>
            </w:r>
          </w:p>
        </w:tc>
      </w:tr>
      <w:tr>
        <w:trPr>
          <w:trHeight w:val="21"/>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5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11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75"/>
        </w:trPr>
        <w:tc>
          <w:tcPr>
            <w:tcW w:w="4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44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1060" w:type="dxa"/>
            <w:vAlign w:val="bottom"/>
            <w:tcBorders>
              <w:top w:val="single" w:sz="8" w:color="CCEEFF"/>
            </w:tcBorders>
            <w:gridSpan w:val="4"/>
          </w:tcPr>
          <w:p>
            <w:pPr>
              <w:spacing w:after="0"/>
              <w:rPr>
                <w:sz w:val="15"/>
                <w:szCs w:val="15"/>
                <w:color w:val="auto"/>
              </w:rPr>
            </w:pPr>
          </w:p>
        </w:tc>
        <w:tc>
          <w:tcPr>
            <w:tcW w:w="1160" w:type="dxa"/>
            <w:vAlign w:val="bottom"/>
            <w:tcBorders>
              <w:top w:val="single" w:sz="8" w:color="CCEEFF"/>
            </w:tcBorders>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00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1160" w:type="dxa"/>
            <w:vAlign w:val="bottom"/>
            <w:shd w:val="clear" w:color="auto" w:fill="CCEEFF"/>
          </w:tcPr>
          <w:p>
            <w:pPr>
              <w:spacing w:after="0"/>
              <w:rPr>
                <w:sz w:val="17"/>
                <w:szCs w:val="17"/>
                <w:color w:val="auto"/>
              </w:rPr>
            </w:pPr>
          </w:p>
        </w:tc>
      </w:tr>
      <w:tr>
        <w:trPr>
          <w:trHeight w:val="175"/>
        </w:trPr>
        <w:tc>
          <w:tcPr>
            <w:tcW w:w="4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9500" w:type="dxa"/>
            <w:vAlign w:val="bottom"/>
            <w:tcBorders>
              <w:top w:val="single" w:sz="8" w:color="CCEEFF"/>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1160" w:type="dxa"/>
            <w:vAlign w:val="bottom"/>
            <w:tcBorders>
              <w:top w:val="single" w:sz="8" w:color="CCEEFF"/>
            </w:tcBorders>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5"/>
        </w:trPr>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5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 FORM 10-K SUMMARY</w:t>
            </w:r>
          </w:p>
        </w:tc>
        <w:tc>
          <w:tcPr>
            <w:tcW w:w="11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References in this Annual Report on Form 10-K , or the Annual Report to the “Company,” “BiomX,” “we,” “us” or “our” mean BiomX Inc. and its consolidated subsidiaries unless otherwise expressly stated or the context indicates otherwise,. References in this Annual Report to Adaptive Phage Therapeutics LLC, or APT, mean our wholly owned subsidiary, and reference to BiomX Ltd. mean BiomX Ltd., our wholly owned Israeli subsidiary that is now under dissolution proceedings in Israel as provided in more detail below.</w:t>
      </w:r>
    </w:p>
    <w:p>
      <w:pPr>
        <w:spacing w:after="0" w:line="182"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On December 16, 2025, our Israeli subsidiary, BiomX Ltd., filed for insolvency proceedings in Israel. On January 25, 2026, the District Court of Tel-Aviv, Israel, appointed a trustee to BiomX Ltd. to handle the administration of the insolvency proceedings. The trustee is responsible for managing BiomX Ltd.’s assets, evaluating claims from creditors, and overseeing the orderly wind-down or restructuring of BiomX Ltd.’s operations in accordance with applicable Israeli insolvency law. As a result of these proceedings, we no longer control BiomX Ltd. and do not deem it as part of our assets.</w:t>
      </w:r>
    </w:p>
    <w:p>
      <w:pPr>
        <w:spacing w:after="0" w:line="16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December 26, 2025, the Company entered into a Securities Purchase Agreement, or the 2025 Second SPA, with Pyu Pyu Capital, LLC, or the Investor, subject to customary closing conditions, which were satisfied on January 13, 2026. Pursuant to the 2025 Second SPA, the Company agreed to issue and sell, in a private placement transaction, an aggregate of 3,300 shares of its newly created Series Y Convertible Preferred Stock, as defined below, with an aggregate stated value of $3.3 million, and warrants to purchase up to 3,300,000 shares of the Company’s common stock, for aggregate gross proceeds of $3.0 million. The Series Y Convertible Preferred Stock has a stated value of $1,000 and is convertible into Common Stock at an initial conversion price of $2.00 per share (i.e., 1,650,000 shares of Common Stock), subject to adjustments. Accordingly, subject to receipt of approval of the stockholders of the Company, the Investor will beneficially own the majority of the shares of common stock of the Company and may have control over the Company. Therefore, if the stockholders’ approval is obtained, the Investor may cause the Company to change its business, strategy and objectives.</w:t>
      </w:r>
    </w:p>
    <w:p>
      <w:pPr>
        <w:spacing w:after="0" w:line="190"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amounts of shares of Common Stock included in this Annual Report have been retroactively adjusted to reflect a 1-for-19 reverse stock split, which took effect on November 25, 2025.</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Securities Act of 1933, as amended, or the Securities Act, and Section 21E of the Securities Exchange Act of 1934, as amended or the Exchange Act. The statements contained in this Annual Report that are not purely historical are forward-looking statements.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and also regarding our preclinical and clinical development plans, the safety, tolerability and efficacy of our phage therapy and the conducting, design, aims and timing of its preclinical and clinical studies and announcing results thereof.</w:t>
      </w:r>
    </w:p>
    <w:p>
      <w:pPr>
        <w:spacing w:after="0" w:line="18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Annual Report including, without limitation, in the sections entitled “Management’s Discussion and Analysis of Financial Conditions and Results of Operations,” and “Business.” The risks and uncertainties include, but are not limited to:</w:t>
      </w:r>
    </w:p>
    <w:p>
      <w:pPr>
        <w:spacing w:after="0" w:line="176"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pursue and explore potential strategic alternatives for our business operations;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necessary financing and continue operations, which is highly dependent on obtaining stockholder approval pursuant to the 2025 Second SPA;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revenues, and raise sufficient financing to meet working capital requirements;</w:t>
      </w:r>
    </w:p>
    <w:p>
      <w:pPr>
        <w:spacing w:after="0" w:line="22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timing and cost associated with our approach to developing product candidates using phage technology and potential success thereof;</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without limitation, due to natural disasters or other catastrophic events, such as the Russian invasion of Ukraine and instability in the Middle East, terrorist attacks, hurricanes, fire, floods, pollution and earthquakes;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U.S. Food and Drug Administration, or FDA, acceptance of any non-U.S. clinical trials of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achieve anticipated development milestones when expected;</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pursue and effectively develop new product opportunities and acquisitions and to obtain value from such product opportunities and acquisitions;</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and market withdrawal associated with any unanticipated problems with product candidates and failure to comply with labeling and other restrictions;</w:t>
      </w:r>
    </w:p>
    <w:p>
      <w:pPr>
        <w:spacing w:after="0" w:line="161"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our current low stock price and other factors on our operations, the continuity of our business, including our preclinical and clinical trials, and our ability to raise additional capital;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compliance with ongoing regulatory obligations and successful continuing regulatory review;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and ability to identify or discover additional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high titers for specific phage cocktails necessary for preclinical and clinical testing;</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 candidates to demonstrate requisite, safety and efficacy for drug products, or safety, purity and potency for biologics without causing adverse effects;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expected future advanced clinical trials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required regulatory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manufacturing processes for our product candidates;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similar technologies, products that are more effective, safer or more affordable than our product candidates or products that obtain marketing approval before our product candidates;</w:t>
      </w:r>
    </w:p>
    <w:p>
      <w:pPr>
        <w:spacing w:after="0" w:line="161"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unfavorable pricing regulations, third-party reimbursement practices or healthcare reform initiatives on our ability to sell product candidates or therapies profitably;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intellectual property rights and compliance with the terms and conditions of current and future licenses with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on the intellectual property rights of third parties and claims for remuneration or royalties for assigned service invention rights;</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in-license or use proprietary rights held by third parties necessary to our product candidates or future development candidates;</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legal and social concerns about synthetic biology and genetic engineering that may adversely affect market acceptance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collaborators;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 or to enforce the terms of noncompetition agreements with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applicable laws and regulations other than drug manufacturing compliance;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security breaches, including cybersecurity incidents;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the section of this report entitled “Risk Factors” beginning on page 24.</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and are based on our management’s potentially inaccurate assumptions that could cause actual results to differ materially from those expected or implied by the forward-looking statements. While these statements are based upon information available to us as of the filing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Actual results could differ materially from those anticipated in forward-looking statements for many reasons, including the factors discussed in the section of this Annual Report entitled “Risk Factors”. Except as may be required by applicable law, we undertake no obligation to publicly revise any forward-looking statement to reflect circumstances or events after the date of this Annual Report or to reflect the occurrence of unanticipated events. You should, however, review the factors and risks we describe in the reports we will file from time to time with the U.S. Securities and Exchange Commission, or the SEC, after the date of this Annual Report.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summary below provides an overview of many of the risks the Company faces, and a more detailed discussion of risks can be found in Item 1A. “Risk Factors” below. You should carefully consider these risks and uncertainties when investing in our securities. The principal risks and uncertainties affecting our business include, but are not limited to, the following:</w:t>
      </w:r>
    </w:p>
    <w:p>
      <w:pPr>
        <w:spacing w:after="0" w:line="17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of strategic and business alternatives could adversely affect our business and our stock price.</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necessary financing and continue operations is highly dependent on obtaining stockholder approval for the 2025 Second SPA, and failure to do so could severely impact our liquidity and future viability.</w:t>
      </w:r>
    </w:p>
    <w:p>
      <w:pPr>
        <w:spacing w:after="0" w:line="161"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company and have incurred losses since our inception. We anticipate that we will continue to incur significant expenses, and we will continue to incur significant losses for the foreseeable future.</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in the future to support our operations which may not be available at terms that are favorable to us and might cause significant dilution to our stockholders or increase our debt towards third parties.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contain an explanatory paragraph regarding substantial doubt about our ability to continue as a going concern, which could prevent us from obtaining new financing on reasonable terms or at all.</w:t>
      </w:r>
    </w:p>
    <w:p>
      <w:pPr>
        <w:spacing w:after="0" w:line="16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to develop product candidates using phage technology, an approach for which it is difficult to predict the potential success and time and cost of development. To our knowledge, no bacteriophage has thus far been approved as a drug in the United States or in the European Union.</w:t>
      </w:r>
    </w:p>
    <w:p>
      <w:pPr>
        <w:spacing w:after="0" w:line="175"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clinical testing which may fail to demonstrate the requisite safety and efficacy for drug products, or safety, purity, and potency for biologics, and any of our product candidates could cause adverse effects, which would substantially delay or prevent regulatory approval and/or commercialization.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completed composition development of our product candidates.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compared to the long cycle of development phage based products may make it difficult to evaluate the success of our business to date and to assess our future viability.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any revenue from product sales and may never be profitable or, if achieved, may not sustain profitability.</w:t>
      </w:r>
    </w:p>
    <w:p>
      <w:pPr>
        <w:spacing w:after="0" w:line="225" w:lineRule="exact"/>
        <w:rPr>
          <w:rFonts w:ascii="Times New Roman" w:cs="Times New Roman" w:eastAsia="Times New Roman" w:hAnsi="Times New Roman"/>
          <w:sz w:val="18"/>
          <w:szCs w:val="18"/>
          <w:color w:val="auto"/>
        </w:rPr>
      </w:pPr>
    </w:p>
    <w:p>
      <w:pPr>
        <w:ind w:left="980" w:right="8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preclinical studies of our product candidates may not be predictive of the results of clinical trials or later stage clinical development.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subject to significant regulatory approval requirements, which could delay, prevent or limit our ability to market or develop our product candidates.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other consequences.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ind w:left="324" w:right="40" w:hanging="324"/>
        <w:spacing w:after="0" w:line="261"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of any product candidates for therapeutic indications, we will be subject to ongoing regulatory compliance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 candidates.</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products that we may develop may become subject to unfavorable pricing regulations, third-party reimbursement practices or healthcare reform initiatives, which could make it difficult for us to sell any product candidates or therapies profitably.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health care legislative and regulatory reform measures may have a material adverse effect on our business and results of operations.</w:t>
      </w:r>
    </w:p>
    <w:p>
      <w:pPr>
        <w:spacing w:after="0" w:line="225" w:lineRule="exact"/>
        <w:rPr>
          <w:rFonts w:ascii="Times New Roman" w:cs="Times New Roman" w:eastAsia="Times New Roman" w:hAnsi="Times New Roman"/>
          <w:sz w:val="18"/>
          <w:szCs w:val="18"/>
          <w:color w:val="auto"/>
        </w:rPr>
      </w:pPr>
    </w:p>
    <w:p>
      <w:pPr>
        <w:ind w:left="324" w:right="140" w:hanging="324"/>
        <w:spacing w:after="0" w:line="289" w:lineRule="auto"/>
        <w:tabs>
          <w:tab w:leader="none" w:pos="3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 agreements we maintain are important to our business. If we or the other parties to our license agreements fail to adequately perform under the license agreements, or if we or they terminate the license agreements, the development, testing, manufacture, production and sale of our phage-based therapeutic product candidates would be delayed or terminated, and our business would be adversely affected.</w:t>
      </w:r>
    </w:p>
    <w:p>
      <w:pPr>
        <w:spacing w:after="0" w:line="157" w:lineRule="exact"/>
        <w:rPr>
          <w:rFonts w:ascii="Times New Roman" w:cs="Times New Roman" w:eastAsia="Times New Roman" w:hAnsi="Times New Roman"/>
          <w:sz w:val="17"/>
          <w:szCs w:val="17"/>
          <w:color w:val="auto"/>
        </w:rPr>
      </w:pPr>
    </w:p>
    <w:p>
      <w:pPr>
        <w:ind w:left="324" w:right="160"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61" w:lineRule="exact"/>
        <w:rPr>
          <w:rFonts w:ascii="Times New Roman" w:cs="Times New Roman" w:eastAsia="Times New Roman" w:hAnsi="Times New Roman"/>
          <w:sz w:val="18"/>
          <w:szCs w:val="18"/>
          <w:color w:val="auto"/>
        </w:rPr>
      </w:pPr>
    </w:p>
    <w:p>
      <w:pPr>
        <w:ind w:left="324" w:right="120"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infringe the rights of third parties, we could be prevented from selling products, forced to pay damages and/or royalties, and forced to defend against litigation.</w:t>
      </w:r>
    </w:p>
    <w:p>
      <w:pPr>
        <w:spacing w:after="0" w:line="161" w:lineRule="exact"/>
        <w:rPr>
          <w:rFonts w:ascii="Times New Roman" w:cs="Times New Roman" w:eastAsia="Times New Roman" w:hAnsi="Times New Roman"/>
          <w:sz w:val="18"/>
          <w:szCs w:val="18"/>
          <w:color w:val="auto"/>
        </w:rPr>
      </w:pPr>
    </w:p>
    <w:p>
      <w:pPr>
        <w:ind w:left="324" w:right="300"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trade secrets and other forms of non-patent intellectual property protection. If we are unable to protect our trade secrets, other companies may be able to compete more effectively against us.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policy, including the imposition of tariffs, may adversely affect our business, results of operations and financial condition.</w:t>
      </w:r>
    </w:p>
    <w:p>
      <w:pPr>
        <w:spacing w:after="0" w:line="225" w:lineRule="exact"/>
        <w:rPr>
          <w:rFonts w:ascii="Times New Roman" w:cs="Times New Roman" w:eastAsia="Times New Roman" w:hAnsi="Times New Roman"/>
          <w:sz w:val="18"/>
          <w:szCs w:val="18"/>
          <w:color w:val="auto"/>
        </w:rPr>
      </w:pPr>
    </w:p>
    <w:p>
      <w:pPr>
        <w:ind w:left="324" w:right="80"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infringing intellectual property rights of third parties or if we are forced to engage in an interference proceeding, it will be costly and time-consuming, and an unfavorable outcome in that litigation or interference would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324" w:right="140"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relationships are important to our business. If we are unable to maintain our collaborations or enter into new relationships, or if these relationships are not successful, our business could be adversely affected.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rely on the availability of specialty raw materials, which may not be available to us on acceptable terms or at all.</w:t>
      </w:r>
    </w:p>
    <w:p>
      <w:pPr>
        <w:spacing w:after="0" w:line="225" w:lineRule="exact"/>
        <w:rPr>
          <w:rFonts w:ascii="Times New Roman" w:cs="Times New Roman" w:eastAsia="Times New Roman" w:hAnsi="Times New Roman"/>
          <w:sz w:val="18"/>
          <w:szCs w:val="18"/>
          <w:color w:val="auto"/>
        </w:rPr>
      </w:pPr>
    </w:p>
    <w:p>
      <w:pPr>
        <w:ind w:left="324" w:hanging="324"/>
        <w:spacing w:after="0" w:line="261"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number of shares of our Common Stock are subject to issuance upon exercise of outstanding warrants, pre-funded warrants and options or conversion of our Series X non-voting convertible preferred stock, par value $0.0001 per share, or the Series X Convertible Preferred Stock, and our Series Y convertible preferred stock, par value $0.0001 per share, or the Series Y Convertible Preferred Stock, or together the Convertible Preferred Stock, which upon exercise or conversion may result in dilution to our security holders.</w:t>
      </w:r>
    </w:p>
    <w:p>
      <w:pPr>
        <w:spacing w:after="0" w:line="179" w:lineRule="exact"/>
        <w:rPr>
          <w:rFonts w:ascii="Times New Roman" w:cs="Times New Roman" w:eastAsia="Times New Roman" w:hAnsi="Times New Roman"/>
          <w:sz w:val="18"/>
          <w:szCs w:val="18"/>
          <w:color w:val="auto"/>
        </w:rPr>
      </w:pPr>
    </w:p>
    <w:p>
      <w:pPr>
        <w:ind w:left="324" w:right="340"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and other securities may be volatile and fluctuate substantially, which could result in substantial losses for purchasers of our Common Stock.</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retain key executives and to attract, retain and motivate qualified personnel.</w:t>
      </w:r>
    </w:p>
    <w:p>
      <w:pPr>
        <w:spacing w:after="0" w:line="200" w:lineRule="exact"/>
        <w:rPr>
          <w:sz w:val="20"/>
          <w:szCs w:val="20"/>
          <w:color w:val="auto"/>
        </w:rPr>
      </w:pPr>
    </w:p>
    <w:p>
      <w:pPr>
        <w:spacing w:after="0" w:line="24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4"/>
          </w:cols>
          <w:pgMar w:left="976" w:top="877" w:right="4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are a clinical stage product discovery company developing products using both natural and engineered phage technologies designed to target and kill specific harmful bacteria associated with chronic diseases, such as diabetic foot infections, or DFI. Bacteriophage or phage are bacterial, species-specific, strain-limited viruses that infect, amplify and kill the target bacteria and are considered inert to mammalian cells. By utilizing proprietary combinations of naturally occurring phage and by creating novel phage using synthetic biology, we develop phage-based therapies intended to address large-market diseases.</w:t>
      </w:r>
    </w:p>
    <w:p>
      <w:pPr>
        <w:spacing w:after="0" w:line="18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Based on the urgency of treating the infection (whether acute or chronic), the susceptibility of the target bacteria to phage (e.g. the ability to identify a phage cocktail that would target a broad range of bacterial strains) and other considerations, we offer two phage-based product types:</w:t>
      </w:r>
    </w:p>
    <w:p>
      <w:pPr>
        <w:spacing w:after="0" w:line="162" w:lineRule="exact"/>
        <w:rPr>
          <w:sz w:val="20"/>
          <w:szCs w:val="20"/>
          <w:color w:val="auto"/>
        </w:rPr>
      </w:pPr>
    </w:p>
    <w:p>
      <w:pPr>
        <w:ind w:left="980" w:right="4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cocktail therapy – in this approach a single product containing a fixed number of selected phages is developed to cover a wide range of bacterial strains, thus allowing treatment of broad patient populations with the same product. Fixed cocktails are developed using our platform, in which high throughput screening, directed evolution, and bioinformatic approaches are leveraged to produce an optimal phage cocktail.</w:t>
      </w:r>
    </w:p>
    <w:p>
      <w:pPr>
        <w:spacing w:after="0" w:line="179"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Personalized therapy – in this approach a large library of phages is developed, of which single optimal phages are personally matched to treat specific patients. Matching optimal phages with patients is carried out using a proprietary phage susceptibility testing, or patient specific targeting, where multiple considerations are analyzed simultaneously – allowing for an efficient screen of the phage library while maintaining short turnaround times.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our therapeutic programs, we focus on using phage therapy to target specific strains of pathogenic bacteria that are associated with diseases. Our phage-based product candidates are developed utilizing our proprietary research and development platform. Our platform is unique, employing cutting edge methodologies and capabilities across disciplines including computational biology, microbiology, synthetic engineering of phage and their production bacterial hosts, bioanalytical assay development, manufacturing and formulation, to allow agile and efficient development of natural or engineered phage combinations, or cocktails. The cocktail contains phage with complementary features and is optimized for multiple characteristics such as broad target host range, ability to prevent resistance, biofilm penetration, stability and ease of manufacturing.</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goal is to develop multiple products based on the ability of phage to precisely target harmful bacteria and on our ability to screen, identify and combine different phage, both naturally occurring and created using synthetic engineering, to develop these treatments.</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December 2025, we discontinued the development of our phage cocktail product for the treatment of Cystic Fibrosis or, BX004, following an internal analysis and feedback from the Data Monitoring Committee, or DMC, which recommended consideration of alternative dosing regimens or treatment strategies in response to adverse events experienced by certain participants; however, pursuing such alternatives was beyond the Company’s available resources. Additionally, we implemented cost-cutting measures including a significant reduction in workforce while reviewing other strategic alternatives.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9" w:name="page10"/>
    <w:bookmarkEnd w:id="9"/>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December 2025, following the discontinuation of the development of BX004, our Israeli subsidiary, BiomX Ltd., commenced insolvency proceedings in Israel. Prior to the commencement of these insolvency proceedings, BiomX Ltd. served as the core operational subsidiary of the Company, employing a significant portion of our workforce. As a result of BiomX Ltd.’s insolvency, our business has been materially impacted, and without additional resources, we have limited ongoing operations and limited ability to advance our programs as previously planned. Accordingly, we are actively evaluating and pursuing strategic alternatives and other business opportunities to exploit the expertise of our management staff, based on time, available resources and market conditions.</w:t>
      </w:r>
    </w:p>
    <w:p>
      <w:pPr>
        <w:spacing w:after="0" w:line="187" w:lineRule="exact"/>
        <w:rPr>
          <w:sz w:val="20"/>
          <w:szCs w:val="20"/>
          <w:color w:val="auto"/>
        </w:rPr>
      </w:pPr>
    </w:p>
    <w:p>
      <w:pPr>
        <w:jc w:val="both"/>
        <w:ind w:right="100" w:firstLine="648"/>
        <w:spacing w:after="0" w:line="253" w:lineRule="auto"/>
        <w:rPr>
          <w:sz w:val="20"/>
          <w:szCs w:val="20"/>
          <w:color w:val="auto"/>
        </w:rPr>
      </w:pPr>
      <w:r>
        <w:rPr>
          <w:rFonts w:ascii="Times New Roman" w:cs="Times New Roman" w:eastAsia="Times New Roman" w:hAnsi="Times New Roman"/>
          <w:sz w:val="18"/>
          <w:szCs w:val="18"/>
          <w:color w:val="auto"/>
        </w:rPr>
        <w:t>On December 26, 2025, the Company entered into the 2025 Second SPA with the Investor. Pursuant to the 2025 Second SPA, we agreed to issue and sell, in a private placement transaction, an aggregate of 3,300 shares of its newly created Series Y Convertible Preferred Stock, as defined below, with an aggregate stated value of $3.3 million, and warrants to purchase up to 3,300,000 shares of the Company’s common stock, for aggregate gross proceeds of $3.0 million. The Series Y Convertible Preferred Stock has a stated value of $1,000 and is convertible into Common Stock at an initial conversion price of $2.00 per share (i.e., 1,650,000 shares of Common Stock), subject to adjustments. Accordingly, subject to receipt of approval of the stockholders of the Company, the Investor will beneficially own the majority of the shares of common stock of the Company and may have control over the Company.</w:t>
      </w:r>
    </w:p>
    <w:p>
      <w:pPr>
        <w:spacing w:after="0" w:line="5"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Therefore, if the stockholders’ approval is obtained, the Investor may cause the Company to change its business, strategy and objectives. However, our ability to fully realize the benefits of the 2025 Second SPA, including the issuance of shares in excess of the NYSE American 19.99% limitation, as described further below, is contingent upon obtaining the stockholder approval required pursuant to the 2025 Second SPA. Failure to obtain this approval would severely limit our financial flexibility, potentially requiring us to seek alternative financing on less favorable terms, or cease our operations, which would have a material adverse effect on our business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Pipeline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products approved or available for sale, our product candidates are still in the clinical development stages, and we have not generated any revenue from product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Ongoing Programs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BX011 - Treatment of Diabetic Foot Infections, or DFI</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BX011 is a fixed multi-phage cocktail, for the treatment of DFI associated with Staphylococcus aureus, or S. aureus, a key bacterium implicated in development and exacerbation of DFI. DFI is a serious bacterial infection commonly arising from an ulcer on the foot and is a leading cause of amputation in patients with diabetes. We previously reported positive statistically significant results targeting S. aureus in diabetic foot osteomyelitis, or DFO, patients. BX011 incorporates multiple proprietary phages, among them phage previously evaluated in the BX211 study, to provide broad and potent coverage against this S. aureus in DFI patients. BX011’s advancement will continue in alignment with ongoing discussions with the U.S. Defense Health Agency and subject to the availability of necessary financial resources, with plans to initiate a Phase 2a clinical trial in DFI.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BX211 – Treatment of Diabetic Foot Osteomyelitis (DFO)</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BX211 is a phage therapy for the treatment of DFO associated with S. aureus. The personalized phage treatment tailors a specific phage selected from a proprietary phage-bank according to the specific strain of S. aureus biopsied and isolated from each patient. DFO is a bacterial infection of the bone that usually develops from an infected foot ulcer and is a leading cause of amputation in patients with diabetes. We believe that scientific literature demonstrating the potential benefit in treating osteomyelitis using phage in animal models as well as numerous successful compassionate cases using phage therapy to treat DFO patient support our approach of using phage therapy to treat DFO.</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March 2025, we announced positive results from the phase 2 trial evaluating BX211 for the treatment of DFO, or the DFO Trial. The DFO Trial is a randomized, double-blind, placebo-controlled, multi-center study investigating the safety, tolerability, and efficacy of BX211 to treat individuals with DFO associated with S. aureus. The DFO Trial enrolled a total of 41 patients randomized for treatment at a 2:1 ratio, 26 of whom received intravenous, or IV, and topical administration of BX211 on week 1 followed by a topical weekly dose through week 12, while 15 patients were assigned to the placebo arm. Over the 12-week treatment period, all subjects (treatment and placebo) were also treated in accordance with standard of care, including with systemic antibiotic therapy as appropriate. A readout of the DFO Trial results at week 13 evaluated healing of the wound associated with osteomyelitis. The primary efficacy endpoint was percent area reduction, or PAR, of study ulcer through week 13. Study design was guided in part by experience with numerous compassionate cases using phage therapy for the treatment of DFO and osteomyelitis.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Results from the DFO Trial findings included:</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BX211 was found to be safe and well-tolerated.</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BX211 produced sustained and statistically significant PAR of ulcer size (p = 0.046 at week 12; p=0.052 at week 13), with a separation from placebo (standard of care) starting at week 7 and a difference greater than 40% by week 10.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ind w:left="980" w:right="66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BX211 produced statistically significant improvements in both ulcer depth at week 13 (in patients with ulcer depth defined as bone at baseline) (p=0.048), and in reducing the expansion of ulcer area (p=0.017), compared to placebo.</w:t>
      </w:r>
    </w:p>
    <w:p>
      <w:pPr>
        <w:spacing w:after="0" w:line="161" w:lineRule="exact"/>
        <w:rPr>
          <w:rFonts w:ascii="Times New Roman" w:cs="Times New Roman" w:eastAsia="Times New Roman" w:hAnsi="Times New Roman"/>
          <w:sz w:val="18"/>
          <w:szCs w:val="18"/>
          <w:color w:val="auto"/>
        </w:rPr>
      </w:pPr>
    </w:p>
    <w:p>
      <w:pPr>
        <w:ind w:left="980" w:hanging="324"/>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BX211 demonstrated favorable trends compared to placebo across several additional clinical parameters, including: proportion of visits with no clinical evidence of infection; evidence of resolving DFO by MRI/X-ray at week 12; proportion of patients with abnormal C-Reactive Protein, or CRP, at baseline that achieved a reduction of CRP of at least 50% at any point in the study; and greater Wagner scale improvement. The Wagner Scale is a clinical grading system used to classify the severity of diabetic foot ulcers, ranging from 0 (intact skin) to 5 (extensive gangrene).</w:t>
      </w:r>
    </w:p>
    <w:p>
      <w:pPr>
        <w:spacing w:after="0" w:line="183"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week 13, BX211 demonstrated comparable efficacy against both Methicillin-susceptible and resistant strains, as well as against high and low biofilm producers—consistent with the orthogonal mechanism of phage therapy to antibiotics and its inherent anti-biofilm capabilities.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p-values described in the above DFO Trial are non-adjusted.</w:t>
      </w:r>
    </w:p>
    <w:p>
      <w:pPr>
        <w:spacing w:after="0" w:line="225"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Given the straightforward pathway for regulatory approval in DFI provided by the FDA, BiomX is prioritizing the development of BX011 for DFI before potential expansion to address DFO patient populations, which share the same S. aureus bacterial target, pending sufficiency of financial resources.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National Institutes of Health, or NIH, study in Cystic Fibrosis, or CF</w:t>
      </w:r>
    </w:p>
    <w:p>
      <w:pPr>
        <w:spacing w:after="0" w:line="225"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We are supporting a study conducted by the NIH and The Antibacterial Resistance Leadership Group targeting Pseudomonas aeruginosa, or P. Aeruginosa, infections in CF patients under FDA emergency Investigational New Drug allowance. The Phase 1b/2, multi-centered, randomized, double-blind, placebo-controlled trial is assessing the safety and microbiological activity of a single IV dose of bacteriophage therapy in cystic fibrosis subjects colonized with P. aeruginosa.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Discontinued programs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BX004 – Treatment of Cystic Fibrosis</w:t>
      </w:r>
    </w:p>
    <w:p>
      <w:pPr>
        <w:spacing w:after="0" w:line="223"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18"/>
          <w:szCs w:val="18"/>
          <w:color w:val="auto"/>
        </w:rPr>
        <w:t>BX004 is our therapeutic phage product candidate under development for chronic pulmonary infections caused by P. aeruginosa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main contributor to morbidity and mortality in patients with CF. Enhanced resistance to antibiotics develops, particularly in CF patients, due to extensive drug use consisting of prolonged and repeated broad-spectrum antibiotic courses often beginning in childhood, and leading to the appearance of multidrug-resistant strains. In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BX004 was shown to be active against antibiotic resistant strains of P. aeruginosa and demonstrated the ability to penetrate biofilm, an assemblage of surface-associated microbial cells enclosed in an extracellular polymeric substance and one of the leading causes for antibiotic resistance.</w:t>
      </w:r>
    </w:p>
    <w:p>
      <w:pPr>
        <w:spacing w:after="0" w:line="18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August 2025, we announced that the FDA had placed a clinical hold on the Company’s Phase 2b clinical trial of the BX004 product candidate, or the Study. As a result of the FDA’s notification, patient screening and enrollment in the U.S. portion of the Study had been paused. Furthermore, in November 2025, we announced that the FDA was continuing its evaluation of the third-party nebulizer device used in the Study in connection with the clinical hold, and that an independent DMC recommended that the Study continue with an adjusted dosing regimen.</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light of the foregoing, and as detailed above, in December, 2025, we discontinued the development of BX004, following internal analysis and DMC feedback, on an alternative dosing regimen or treatment strategy which were beyond the Company’s available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BX005 – Treatment of Atopic Dermatitis, or AD</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BX005 is our topical phage product candidate targeting S. aureus, a bacterium associated with the development and exacerbation of inflammation in AD. </w:t>
      </w:r>
      <w:r>
        <w:rPr>
          <w:rFonts w:ascii="Times New Roman" w:cs="Times New Roman" w:eastAsia="Times New Roman" w:hAnsi="Times New Roman"/>
          <w:sz w:val="18"/>
          <w:szCs w:val="18"/>
          <w:i w:val="1"/>
          <w:iCs w:val="1"/>
          <w:color w:val="auto"/>
        </w:rPr>
        <w:t>S. aureus</w:t>
      </w:r>
      <w:r>
        <w:rPr>
          <w:rFonts w:ascii="Times New Roman" w:cs="Times New Roman" w:eastAsia="Times New Roman" w:hAnsi="Times New Roman"/>
          <w:sz w:val="18"/>
          <w:szCs w:val="18"/>
          <w:color w:val="auto"/>
        </w:rPr>
        <w:t xml:space="preserve"> is more abundant on the skin of AD patients than on the skin of healthy individuals and on lesional skin than non-lesional skin. It also increases in abundance, becoming the dominant bacteria, when patients experience flares. By reducing the load of S. aureus, BX005 is designed to shift the skin microbiome composition to its ‘pre-flare’ state and potentially provide a clinical benefit. In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BX005 was shown to eradicate over 90% of strains, including antibiotic resistant strains, from a panel of S. aureus strains (120 strains isolated from skin of subjects from the U.S. and Europe). On April 8, 2022, the FDA approved the Company’s Investigational New Drug, or IND, application for BX005.In 2024, we discontinued the development of BX005.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229"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7"/>
          <w:szCs w:val="17"/>
          <w:color w:val="auto"/>
        </w:rPr>
        <w:t>Our goal is to develop multiple products based on the ability of phage to precisely target harmful bacteria and on our ability to screen, identify and optimally combine different phage, both naturally occurring and generated using synthetic engineering, to develop these treatments. We intend to continue to investigate clinical safety and efficacy of our lead phage-based product candidates to treat DFI and DFO; however, our business, strategy, and objectives are expected to be subject to change in accordance with the plans of the Investor, should they become a majority stockholder upon stockholder approval.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phage discovery platform</w:t>
      </w:r>
    </w:p>
    <w:p>
      <w:pPr>
        <w:spacing w:after="0" w:line="22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Our approach is driven by the convergence of several factors: a rapidly increasing understanding of phage, including the links between phage behaviors and their genomes; growing evidence that the presence of specific harmful bacteria may impact chronic diseases, such as DFI, making them in principle, amenable to treatment with phage; and by a growing number of anecdotal reports from different academic centers of successful compassionate use of phage to treat seriously ill patients who were unresponsive to other therapies. We believe our phage therapeutic product candidates have the potential to treat conditions and diseases by precisely targeting pathogenic bacteria without disrupting elements of the healthy microbiota. Our phage-based product candidates, either fixed phage cocktails or personalized phage treatments, are developed utilizing our proprietary research and development platforms.</w:t>
      </w:r>
    </w:p>
    <w:p>
      <w:pPr>
        <w:spacing w:after="0" w:line="1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combine multiple technologies that originate from the laboratories of our scientific founders and that were developed internally. Technologies that were developed by our scientific founders are described in leading scientific journals. One of our scientific founders, Professor Rotem Sorek, a Professor in the Department of Molecular Genetics at the Weizmann Institute of Science, or WIS, is a world leader in phage genomics and bacterial defense mechanisms. The combination of the technologies and expertise from our scientific founders in each of their respective fields is critical in enabling us to focus on treating complex human diseases and conditions by precise manipulation of the microbiome.</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Additionally, we developed proprietary assays and screening technology for robust and high throughput testing and patient specific targeting. The patient specific targeting platform combines state of the art automation with advanced microbiology assays. We believe that the output is a reproducible conclusive decision for optimal phage matching, based on multiple factors, including success of phage infection, suppression of resistant mutants, and antibiofilm activity.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technology that we believe is important to our business, including seeking and maintaining patent protection in the United States and internationally for our product candidates and discovery platform. We also rely on trademarks, trade secrets, know-how, copyrights, continuing technological innovation and in-licensing opportunities to develop and maintain our proprietary position. For more information regarding the risks related to our intellectual property, see “Risk Factors — Risks Related to our Licensed and Co-Owned Intellectual Property.”</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formulations, related methods of treatment, methods of manufacture or identification from our ongoing development of our product candidates, as well as discovery based on our proprietary product platform.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know-how and operate without infringing the valid and enforceable patents and proprietary rights of third parties.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Patent portfolio</w:t>
      </w:r>
    </w:p>
    <w:p>
      <w:pPr>
        <w:spacing w:after="0" w:line="22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Our patent portfolio consists of one patent family (United States, Canada, European Patent Office, China and Japan), solely owned by APT and directed to treating implantable device infections among them staphylococcus aureus infections, common in patients with DFO. For some of the applications, prosecution has not started, and others are in the early stages of prosecution in the United States and in selected jurisdictions outside of the United States. Prosecution is a lengthy process, during which the scope of the claims initially submitted for examination by the USPTO is often significantly narrowed by the time they issue, if they issue at all.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Patent term</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patent applications, including the United States, the base term is 20 years from the filing date of the earliest-filed non-provisional patent application from which the patent claims priority. The term of a United States patent can be lengthened by patent term adjustment, which compensates the owner of the patent for administrative delays at the USPTO. In some cases, the term of a United States patent is shortened by a terminal disclaimer that reduces its term to that of an earlier-expiring patent. The term of a United States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United States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p>
    <w:p>
      <w:pPr>
        <w:spacing w:after="0" w:line="187"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In the future, if and when our product candidates receive FDA approval, we expect to apply, if appropriate, for patent term extension on patents directed to those product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i w:val="1"/>
          <w:iCs w:val="1"/>
          <w:color w:val="auto"/>
        </w:rPr>
        <w:t>Trade Secrets and Know-How</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individual’s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its proprietary information by third parties.</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and benefit from the exclusive use thereof. For more information regarding the risks related to our intellectual property, see “</w:t>
      </w:r>
      <w:r>
        <w:rPr>
          <w:rFonts w:ascii="Times New Roman" w:cs="Times New Roman" w:eastAsia="Times New Roman" w:hAnsi="Times New Roman"/>
          <w:sz w:val="18"/>
          <w:szCs w:val="18"/>
          <w:i w:val="1"/>
          <w:iCs w:val="1"/>
          <w:color w:val="auto"/>
        </w:rPr>
        <w:t>Risk Factors — Risks Related to Our Licensed and Co-Owned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strong competition and an emphasis on proprietary products. While we believe that our technology, knowledge and experience provide us with competitive advantages, we face substantial competition from many different sources, including larger pharmaceutical companies with more resources. Specialty biotechnology companies, academic research institutions, governmental agencies, as well as public and private institutions are also potential sources of competitive products and technologies. We believe that the key competitive factors affecting the success of any of our product candidates will include efficacy, safety profile, time to market, cost, level of promotional activity and intellectual property protection.</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are aware of a number of biotechnology companies developing bacteriophage products to treat diseases. To our knowledge, several biotechnology companies, such as Locus Biosciences, Inc., Armata Pharmaceuticals, Inc. and SNIPR Biome, as well as academic institutions, have discovery stage or clinical programs utilizing naturally occurring phage or synthetic biology approaches. In addition, with respect to DFI/DFO, we are aware of several investigational and marketed products to treat the indications that we are targeting with our product candidates, including, but not limited to, TP-102 being developed by Technophage, a phage-based product being developed by Phaxiam.</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partners, have substantially greater financial, technical and human resources than ours and significantly greater experience in the discovery and development of product candidates, obtaining FDA and other regulatory approvals of products and the commercialization of those products. Accordingly, our competitors may be more successful than us in discovering product candidates, obtaining approval for such product candidates and achieving widespread market acceptance. Our competitors’ products may be more effective, or more effectively marketed and sold, than any product we may commercialize and may render our product candidates obsolete or non-competitive before we can recover the expenses of developing and commercializing any of our product candidates. We anticipate that we will face intense and increasing competition as new drugs enter the market and advanced technologies become available.</w:t>
      </w:r>
    </w:p>
    <w:p>
      <w:pPr>
        <w:spacing w:after="0" w:line="18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may consider to pursue the commercialization of our drug product candidates either by building internal sales and marketing capabilities or through collaborations with 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and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studied in human clinical trials or marketed, considerable data demonstrating its quality, safety, efficacy, purity, and/or potency must be obtained, organized into a format specific for each regulatory authority, submitted for review and approved by the regulatory authority where the product is intended to be studied or marketed.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Biological Product Development Process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the FDCA, and its implementing regulations under the FDCA, the Public Health Service Act, or the PHSA, and their implementing regulations. Both drugs and biologics are also subject to other federal, state and local statutes and regulations. The process of obtaining regulatory approvals and the subsequent compliance with appropriate federal, state and local statutes and regulations requires the expenditure of substantial time and financial resources. Failure to comply with applicable U.S. requirements at any time during the product development, approval, or post-marketing process may subject an applicant to administrative or judicial sanctions. These sanctions could include, among other actions, the FDA’s refusal to approve pending applications, withdrawal of an approval or license revocation,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of our current product candidates and future product candidates must be approved by the FDA through a Biologics License Application, or BLA, process before they may be legally marketed in the United States. The process generally involves the following. However, the Trump administration may change or overhaul existing drug regulations, which would lead to additional time and money to comply with:</w:t>
      </w:r>
    </w:p>
    <w:p>
      <w:pPr>
        <w:spacing w:after="0" w:line="176" w:lineRule="exact"/>
        <w:rPr>
          <w:sz w:val="20"/>
          <w:szCs w:val="20"/>
          <w:color w:val="auto"/>
        </w:rPr>
      </w:pPr>
    </w:p>
    <w:p>
      <w:pPr>
        <w:ind w:left="980" w:right="20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GLP requirements, if needed;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at each clinical trial site before each trial may be initiated;</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good clinical practice, or GCP, requirements and other clinical trial-related regulations to establish the safety, purity, potency and efficacy of the investigational product for each proposed indication;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accept the application for review;</w:t>
      </w:r>
    </w:p>
    <w:p>
      <w:pPr>
        <w:spacing w:after="0" w:line="22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where the biologic will be produced to assess compliance with cGMP requirements to assure that the facilities, methods and controls are adequate to preserve the biologic’s identity, strength, quality and purity;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5" w:name="page16"/>
    <w:bookmarkEnd w:id="15"/>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BLA;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fee waiver applies);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including consideration of the views of any FDA advisory committee, prior to any commercial marketing or sale of the biologic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Studies and IND</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Preclinical studies include laboratory evaluation of product chemistry and formulation,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establish a rationale for therapeutic use and in some cases to assess the potential for adverse events. The conduct of preclinical studies is subject to federal regulations and requirements, including in some cases GLP regulations for safety/toxicology studies. An IND sponsor must submit the results of the preclinical tests, together with manufacturing information, analytical data, any available clinical data or literature and plans for clinical trials, among other things, to the FDA as part of an IND. An IND is a request for authorization from the FDA to administer an investigational product to humans, and, must become effective before human clinical trials may begin. Some long-term preclinical testing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drug or biological product candidate to healthy volunteers or disease-affected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and efficacy,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trial must be reviewed and approved by an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There are also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Clinical trials generally are conducted in three sequential phases, known as Phase 1, Phase 2 and Phase 3, and may overlap.</w:t>
      </w:r>
    </w:p>
    <w:p>
      <w:pPr>
        <w:spacing w:after="0" w:line="225" w:lineRule="exact"/>
        <w:rPr>
          <w:sz w:val="20"/>
          <w:szCs w:val="20"/>
          <w:color w:val="auto"/>
        </w:rPr>
      </w:pPr>
    </w:p>
    <w:p>
      <w:pPr>
        <w:jc w:val="both"/>
        <w:ind w:left="980" w:right="4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product candidate.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6" w:name="page17"/>
    <w:bookmarkEnd w:id="16"/>
    <w:p>
      <w:pPr>
        <w:ind w:left="980" w:right="4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generally involve studies in disease-affected patients to evaluate proof of concept and/or determine the dosing regimen(s) for subsequent investigations. At the same time, safety and sometimes further pharmacokinetic and pharmacodynamic information is collected, possible adverse effects and safety risks are identified and a preliminary evaluation of efficacy is conducted.</w:t>
      </w:r>
    </w:p>
    <w:p>
      <w:pPr>
        <w:spacing w:after="0" w:line="175"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labeling for new drugs.</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conducted to gain additional experience from the treatment of patients in the intended therapeutic indication. In certain instances, the FDA may mandate the performance of Phase 4 clinical trials as a condition of approval of a BLA.</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It is possible for Phase 1, Phase 2, Phase 3 and other types of clinical trials not to be completed successfully within a specified period, if at all.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tested biological product has been associated with unexpected serious harm to patients. Additionally, some clinical trials are overseen by an independent group of qualified experts organized by the clinical trial sponsor, or the Data Safety Monitoring Board. This group provides authorization for whether a trial may move forward at designated check points based on access to certain data from the trial.</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may need to complete additional animal studies and also must develop additional information about the chemistry and physical characteristics of the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FDA Review Process</w:t>
      </w:r>
    </w:p>
    <w:p>
      <w:pPr>
        <w:spacing w:after="0" w:line="22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Following completion of the clinical trials, data are analyzed to assess whether the investigational product is safe and effective for the proposed indicated use or uses and also meets the regulatory requirements for potency and purity. The results of preclinical studies and clinical trials are then submitted to the FDA as part of a BLA, along with proposed labeling, chemistry and manufacturing information to ensure product quality and other relevant data. The BLA is a request for approval to market the biological product for one or more specified indications and must contain proof of safety, purity and potency.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in the intended indication, purity and potency of the investigational product to the satisfaction of the FDA. FDA approval of a BLA must be obtained before a biologic may be marketed in the United States. 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FDA reviews all submitted BLAs before it accepts them for filing and may request additional information rather than accept the BLA for filing. The FDA must make a decision on accepting a BLA for filing within 60 days of receipt, and such a decision could include a refusal to file by the FDA. Once the submission is accepted for filing, the FDA begins an in-depth review of the BLA. Under the goals and policies agreed to by the FDA under PDUFA, the FDA has 10 months, from the filing date, in which to complete its initial review of an original BLA and respond to the applicant, and 6 months from the filing date of an original BLA designated for priority review. The FDA does not always meet its PDUFA goal dates for standard and priority BLAs, and the review process is often extended by FDA requests for additional information or clarification.</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Before approving a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products or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w:t>
      </w:r>
    </w:p>
    <w:p>
      <w:pPr>
        <w:spacing w:after="0" w:line="19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After the FDA evaluates a BLA, it will issue an approval letter, or a Complete Response Letter. An approval letter authorizes commercial marketing of the biologic with specific prescribing information for specific indications. A Complete Response Letter indicates that the review cycle of the application is complete and the application will not be approved in its present form. A Complete Response Letter usually describes all the specific deficiencies in the BLA identified by the FDA. The Complete Response Letter may require additional clinical data and/or other significant and time-consuming requirements related to clinical trials, preclinical studies or manufacturing. If a Complete Response Letter is issued, the applicant may either resubmit the BLA, addressing all the deficiencies identified in the letter, or withdraw the application. Even if such data and information are submitted, the FDA may decide that the BLA does not satisfy the criteria for approval. Data obtained from clinical trials are not always conclusive and the FDA may interpret data differently than the sponsor’s interpretation of the same data.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Pediatric Information</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of 2003, or PREA, a BLA or supplement to a BLA must contain data to assess the safety and efficacy of the biologic for the claimed indications in all relevant pediatric subpopulations and to support dosing and administration for each pediatric subpopulation for which the product is safe and effective. The FDA may grant deferrals for submission of pediatric data or full or partial waivers. A sponsor who is planning to submit a marketing application for a drug that includes a new active ingredient, new indication, new dosage form, new dosing regimen or new route of administration must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Post-marketing Requirements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Following approval of a new product, the manufacturer and the approved product are subject to continuing regulation by the FDA, including, among other things, monitoring and record-keeping activities, reporting of adverse experiences,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Prescription drug and biologic promotional materials must be submitted to the FDA in conjunction with their first use. Further, if there are any modifications to the biologic,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FDA may also place other conditions on approvals including the requirement for a Risk Evaluation and Mitigation Strategy, or REMS, to assure the safe use of the product.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Newly discovered or developed safety or effectiveness data may require changes to a product’s approved labeling, including the addition of new warnings and contraindications, and also may require the implementation of other risk management measures, including a REMS or the conduct of post-marketing studies to assess a newly discovered safety issue. Product approvals may be withdrawn for non-compliance with regulatory standards or if problems occur following initial marketing.</w:t>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regulations, which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manufacturer or holder of an approved BLA, including recall.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Biosimilars and Exclusivity</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An abbreviated approval pathway for biological products shown to be biosimilar to, or interchangeable with, an FDA licensed reference biological product was created by the Biologics Price Competition and Innovation Act of 2009. This amendment to the PHSA, in part, attempts to minimize duplicative testing. 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can be shown through analytical studies, animal studies and a clinical trial or trials.</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regulatory market exclusivity in the United States, available under the Best Pharmaceuticals for Children Act by way of its application to biologics through the Biologics Price Competition and Innovation Act. Pediatric exclusivity, if granted, adds six months to existing regulatory exclusivity periods, which must be in place in order for pediatric exclusivity to apply. This six-month exclusivity may be granted based on the voluntary completion of a pediatric trial in accordance with an FDA issued “Written Request” for such a trial, although FDA may issue such a Written Request at the request of the sponsor.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Companion Diagnostics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may employ companion diagnostics to identify the most suitable phage to treat a specific patient under our personalized phage treatments and to help more accurately identify patients sensitive to our phage cocktails, during our clinical trials and potentially also in connection with the commercialization of our product candidates that we are developing or may in the future develop. Companion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and, as such, require either clearance or approval prior to commercialization. The level of risk combined with available controls to mitigate risk determines whether a companion diagnostic device requires Premarket Approval Application approval or is cleared through the 510(k) premarket notification process. For a novel therapeutic product for which a companion diagnostic device is essential for the safe and effective use of the product, the companion diagnostic device should be developed and approved or 510(k)-cleared contemporaneously with the therapeutic. The use of the companion diagnostic device will be stipulated in the labeling of the therapeutic product.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Government Regulation Outside of the United States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of drug products as well as the approval, manufacture and distribution of our product candidates. Because biologically sourced raw materials are subject to unique contamination risks, their use may be restricted in some countries. Whether or not we obtain FDA approval for a product candidate, we must obtain the requisite approvals from regulatory authorities in foreign countries prior to the commencement of clinical trials or marketing of the product in those countries.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Certain countries outside of the United States have a regulatory process similar to the U.S process that requires the submission of a clinical trial application much like the IND prior to the commencement of human clinical trials. In the European Union, for example, a clinical trial application, or CTA, must be submitted for each clinical trial in a centralized manner to the relevant national health authority and an independent ethics committee in each country in which the trial is to be conducted through a single EU portal for harmonized assessment, much like the FDA and an IRB, respectively. CTAs must be accompanied by an investigational medicinal product dossier with supporting information prescribed by the Clinical Trials Regulation (and corresponding national laws of the member states) and further detailed in applicable guidance documents. Once the CTA is approved in accordance with the European Commission and each country’s requirements, the clinical trial may proceed. A similar process to the one described for the European Union is required in Israel for initiation of clinical trials. The requirements and process governing the conduct of clinical trials vary from country to country. In all cases, the clinical trials must be conducted in accordance with GCP and the applicable regulatory requirements and the ethical principles that have their origin in the Declaration of Helsinki.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Process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order to market our products, we must obtain a marketing approval for each product and comply with numerous and varying regulatory requirements. The approval procedure varies among countries and can involve additional testing in comparison to the testing carried out for the U.S. approval.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is subject to all of the same risks associated with obtaining FDA approval. In addition, in many countries outside the United States, it is required that the product be approved for reimbursement before the product can be approved for sale in that country.</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To obtain marketing approval of a medicinal product under the European Union regulatory system, an applicant must submit a marketing authorization application, or MAA, under either a centralized or a decentralized procedure. The decentralized procedure is based on a collaboration among the member states selected by the applicant. In essence, the applicant chooses a ‘lead’ member state that will carry out the scientific assessment of the MAA and review the product information. The other member states must recognize the outcome of such assessment and review except in case of a “serious potential risk to public health.” The decentralized procedure results in the grant of a national marketing authorization in each selected country. That procedure is available for all medicinal products unless they fall into the mandatory scope of the centralized procedure. In practice, it is used for OTC, not highly innovative products, generic products and, increasingly, for biosimilars.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European Union member states. The centralized procedure is compulsory for certain medicinal products, including for medicinal products produced by certain biotechnological processes, advanced therapy medicinal products, or ATMPs, and products with a new active substance and indicated for the treatment of certain diseases. For products with a new active substance and indicated for the treatment of other diseases, products that are highly innovative or for which a centralized process is in the interest of patients, the centralized procedure is optional.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centralized procedure, the CHMP, the main scientific committee established at the European Medicines Agency, or EMA, is responsible for conducting the scientific assessment of the future medicinal product. The CHMP is also responsible for several post-authorization and maintenance activities, such as the assessment of modifications or extensions to an existing marketing authorization. The maximum timeframe for the evaluation of an MAA is 210 days, excluding clock stops. The European Commission grants or refuses the marketing authorization, following a procedure that involves representatives of the member states. The European Commission’s decision is in accordance with the CHMP scientific assessment except in very rare cases.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Regulation (EC) 1394/2007, specific rules apply to ATMPs, a category that is comprised of gene therapy medical products, somatic cell therapy medicinal products, and tissue-engineered medicinal products. Those rules have triggered the adoption of guidelines on manufacturing, clinical trials and pharmacovigilance that adapt the general regulatory requirements to the specific characteristics of ATMPs. Regulation (EC) 1394/2007 introduced a “hospital exemption”, which authorizes hospitals to develop ATMP for their internal use without having obtained a marketing authorization and to complying with European Union pharmaceutical law. The hospital exemption, which is in essence a compounded ATMP, has been transposed in all Member States, sometimes in such a way that the ATMPs under the hospital exemption are competitive alternatives to ATMPs with marketing authorization. The broad use of the hospital exemption by national hospitals led the European Commission to discuss with the Member States a more reasonable application of the hospital exemption that would not undermine the common legal regime for ATMP.</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Marketing authorization is valid for five years in principle and the marketing authorization may be renewed after five years on the basis of a re-evaluation of the risk-benefit balance by the EMA or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national competent authority decides, on justified grounds relating to pharmacovigilance, to proceed with one additional renewal. Any authorization which is not followed by the actual placing of the medicinal product on the European Union market (in case of centralized procedure) or on the market of the authorizing member state within three years after authorization ceases to be valid (the so-called sunset clause).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Expedited Development and Approval</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Mechanisms are in place in many jurisdictions that allow an earlier approval of the drug so that it reaches patients with unmet medical needs earlier. The European Union, for example, has instituted several expedited approval mechanisms including two mechanisms that are specific to the centralized procedure:</w:t>
      </w:r>
    </w:p>
    <w:p>
      <w:pPr>
        <w:spacing w:after="0" w:line="176" w:lineRule="exact"/>
        <w:rPr>
          <w:sz w:val="20"/>
          <w:szCs w:val="20"/>
          <w:color w:val="auto"/>
        </w:rPr>
      </w:pPr>
    </w:p>
    <w:p>
      <w:pPr>
        <w:ind w:left="980" w:right="20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accelerated approval: the EMA may reduce the maximum timeframe for the evaluation of an MAA from 210 days to 150 days when the future medicinal product is of major interest from the point of view of public health, in particular from the viewpoint of therapeutic innovation.</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conditional marketing authorization: as part of its marketing authorization process, the European Commission may grant marketing authorizations on the basis of less complete data than is normally required.</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balance of the medicinal product is positive;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likely that the applicant will be in a position to provide the comprehensive clinical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unmet medical needs will be addressed; and</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to public health of the immediate availability on the market of the medicinal product concerned outweighs the risk inherent in the fact that additional data is still required.</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granting of a conditional marketing authorization is typically restricted to situations in which only the clinical part of the application is not yet fully complete. Incomplete preclinical or quality data may however be accepted if duly justified and only in the case of a product intended to be used in emergency situations in response to public health threats.</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Conditional marketing authorizations are valid for one year, on a renewable basis. The conditions to which approval is subject will typically require the holder to complete ongoing trials or to conduct new trials with a view to confirming that the benefit-risk balance is positive and to collect pharmacovigilance data. Once the conditions to which the marketing authorization is subject are fulfilled, the conditional marketing authorization is transformed into a regular marketing authorization. If, however, the conditions are not fulfilled with the timeframe set by EMA, the conditional marketing authorization ceases to be renewed.</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EMA has also implemented the so-called “PRIME” (PRIority MEdicines) status in order support the development and accelerate the approval of complex innovative medicinal products addressing an unmet medical need. PRIME status enables early dialogue with the relevant EMA scientific committees and, possibly, some payors and thus reinforces the EMA’s scientific and regulatory support. It also opens accelerated assessment of the MAA as PRIME status, is normally reserved for medicinal products that may benefit from accelerated assessment, i.e., medicines of major interest from a public health perspective, in particular from a therapeutic innovation perspective.</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Finally, all medicinal products (i.e. decentralized and centralized procedures) may benefit from an MA “under exceptional circumstances.” This marketing authorization is close to the conditional marketing authorization as it is reserved to medicinal products to be approved for severe diseases or unmet medical needs and the applicant does not hold the complete data set legally required for the grant of a marketing authorization. However, unlike the conditional marketing authorization, the applicant does not have to provide the missing data and will never have to. The risk-benefit of the medicinal product is reviewed annually. As a result, although the MA “under exceptional circumstances” is granted definitively, the risk-benefit balance of the medicinal product is reviewed annually and the marketing authorization is withdrawn in case the risk-benefit ratio is no longer favorable.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Pediatrics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Mandatory testing in the pediatric population is required in more and more jurisdictions. The European Union has enacted a complex and very stringent system that has inspired other jurisdictions, including the United States and Switzerland. Any application for approval of (i) a medicinal product containing a new active substance or (ii) a new therapeutic indication, pharmaceutical form or route of administration of an already authorized medicinal product which contains an active substance still protected by a supplementary protection certificate, or SPC, or a patent that qualifies for an SPC, must include pediatric data. Otherwise, the application is not validated by the competent regulatory authority. The submission of pediatric data is mandatory in those cases, even if the application concerns an adult use. Submission of pediatric data is not required or fully required if the EMA granted, respectively, a full or partial waiver to pediatric development. Moreover, that submission can be postponed if the EMA grants a deferral in order not to delay the submission of the MAA for the adult population.</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pediatric data are generated through the implementation of a pediatric investigation plan, or PIP, that is proposed by the company after completion of the PK studies in adults and agreed upon by the EMA, typically after some modifications. The PIP lists all the studies to conduct and measures to take in order to prove the safety and efficacy of the future medicinal product when used in children. The EMA may agree to modify the PIP at the company’s request. The scope of the PIP is the adult therapeutic indication or the condition of which the adult application is part or even the mechanism of action of the active substance, at the EMA’s quasi-discretion. This very broad discretion enables the EMA to require companies to develop children indications that are different from the adult indications.</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Completion of a PIP renders the company eligible for a pediatric reward, which can be six-month extension of the term of the SPC. The reward is subject, among other conditions, to the PIP being fully completed, to the pediatric medicinal product being approved in all the member states, and to the results of the pediatric studies being mentioned, in one way or another (for example, the approval of a pediatric indication), in the summary of product characteristics of the product.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Post-Marketing Requirements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Many countries impose post-marketing requirements similar to those imposed in the United States, in particular safety monitoring or pharmacovigilance. In the European Union, pharmacovigilance data are the basis for the competent regulatory authorities imposing the conduct of post-approval safety or efficacy study, including on off-label use. Non-compliance with those requirements can result in significant financial penalties as well as the suspension or withdrawal of the marketing authorization.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Protection Certificate and Regulatory Exclusivities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some countries other than the United States, some of our patents may be eligible for limited patent term extension, depending upon the timing, duration and specifics of the regulatory approval of our product candidates and any future product candidates. Furthermore, authorized drugs and biologics may benefit from regulatory exclusivities (in additional to patent protection resulting from patents).</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the European Union, Regulation (EC) 469/2009 institutes SPCs. An SPC is an extension of the term of a patent that compensates for the patent protection lost because of the legal requirements to conduct safety and efficacy tests and to obtain a marketing authorization before placing a medicinal product on the market. An SPC may be applied for any active substance that is protected by a “basic patent” (a patent chosen by the patent holder, which can be a product, process or application patent) and has not been placed on the market as a medicinal product before having obtained a marketing authorization in accordance with European Union pharmaceutical law. The term of the SPC is maximum five years, and the combined patent and SPC protection may not exceed fifteen years from the date of the first marketing authorization in the EEA. SPC rights are restricted by both the basic patent and the marketing authorization, i.e., the SPC grants the same rights as those conferred by the basic patent but limited to the active substance covered by the marketing authorization (and any use as medicinal product approved afterwards).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SPC are regulated at the European level, they are granted by the national patent offices. The grant of an SPC requires a basic patent granted by the national patent office and a marketing authorization, which is the first marketing authorization for the active substance as a medicinal product in the country. Furthermore, no SPC must have already been granted to the active substance, and the application for the SPC must be filed with the national patent office within six months of the first marketing authorization in the EEA or the grant of the basic patent, whichever is the latest.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future, we may apply for an SPC for one or more of our currently owned or licensed European patents to add patent life beyond their current expiration date, depending on the expected length of the clinical trials and other factors involved in the filing of the relevant MAA.</w:t>
      </w:r>
    </w:p>
    <w:p>
      <w:pPr>
        <w:spacing w:after="0" w:line="16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Furthermore, in the European Union, medicinal products may benefit from the following regulatory exclusivities: data exclusivity, market protection, market exclusivity, and pediatric reward.</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medicinal product that contains a new active substance (reference medicinal product) is granted eight years of data exclusivity followed by two years of market protection. Data exclusivity prevents other companies from referring to the non-clinical and clinical data in marketing authorization dossier of the reference medicinal product for submission of generic MAA purposes, and market protection prevents other companies from placing generics on the market. Pursuant to the concept of global marketing authorization, any further development of that medicinal product (e.g., new indication, new form, change to the active substance) by the marketing authorization holder does not trigger any new or additional protection. The authorization of any new development is considered as “falling” into the initial marketing authorization with regard to regulatory protection; hence, the new development only benefits from the regulatory protection that remains when it is authorized. The only exception is a new therapeutic indication that is considered as bringing a significant clinical benefit in comparison to the existing therapies. Such new indication will add one-year of market protection to the global marketing authorization, provided that it is authorized within the first eight years of authorization (i.e., during the data exclusivity period). Moreover, a new therapeutic indication of a “well-established substance” benefits from one-year data exclusivity but limited to the non-clinical and clinical data supporting the new indication. Any active substance approved for at least ten years in the EEA qualifies as well-established substance.</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Biosimilars may be approved through an abbreviated approval pathway after the expiration of the eight-year data exclusivity period and may be marketed after the 10 or 11-year market protection period. The approval of biosimilars requires the applicant to demonstrate similarity between the biosimilar and the biological medicinal product and to submit the non-clinical and clinical data defined by the EMA. The biosimilar legal regime has been mainly developed through EMA’s scientific guidelines applicable to categories of biological active substances. Unlike in the United States, interchangeability is regulated by each member state.</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Market exclusivity is a regulatory protection exclusively afforded to new medicinal products that precludes the EMA or a national regulatory authority from validating another MAA, and the European Commission or a national regulatory authority from granting another marketing authorization, for a same or similar medicinal product and a same therapeutic indication, for a period of ten years from approval (see above).</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Pediatric reward is another regulatory exclusivity. Completion of a PIP renders the company eligible for a pediatric reward, which can be six-month extension of the term of the SPC. In case a PIP is completed on a voluntary basis, i.e., for an approved medicinal product that is not or no longer protected by an SPC or a basic patent, the pediatric reward takes the form of a “pediatric use marketing authorization”, or PUMA. That special authorization does not fall into the global marketing authorization and thus benefits from eight years of data exclusivity followed by two or three years of market protection.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Other U.S. Healthcare Laws and Compliance Requirements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products, if any, for which we obtain approval. The laws that may affect our ability to operate include:</w:t>
      </w:r>
    </w:p>
    <w:p>
      <w:pPr>
        <w:spacing w:after="0" w:line="176" w:lineRule="exact"/>
        <w:rPr>
          <w:sz w:val="20"/>
          <w:szCs w:val="20"/>
          <w:color w:val="auto"/>
        </w:rPr>
      </w:pPr>
    </w:p>
    <w:p>
      <w:pPr>
        <w:ind w:left="980" w:hanging="324"/>
        <w:spacing w:after="0" w:line="273"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FCA, or federal civil money penalties statute;</w:t>
      </w:r>
    </w:p>
    <w:p>
      <w:pPr>
        <w:spacing w:after="0" w:line="171" w:lineRule="exact"/>
        <w:rPr>
          <w:rFonts w:ascii="Times New Roman" w:cs="Times New Roman" w:eastAsia="Times New Roman" w:hAnsi="Times New Roman"/>
          <w:sz w:val="17"/>
          <w:szCs w:val="17"/>
          <w:color w:val="auto"/>
        </w:rPr>
      </w:pPr>
    </w:p>
    <w:p>
      <w:pPr>
        <w:ind w:left="980" w:right="20" w:hanging="324"/>
        <w:spacing w:after="0" w:line="258"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penalties laws, such as the FCA,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183"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79" w:lineRule="exact"/>
        <w:rPr>
          <w:rFonts w:ascii="Times New Roman" w:cs="Times New Roman" w:eastAsia="Times New Roman" w:hAnsi="Times New Roman"/>
          <w:sz w:val="18"/>
          <w:szCs w:val="18"/>
          <w:color w:val="auto"/>
        </w:rPr>
      </w:pPr>
    </w:p>
    <w:p>
      <w:pPr>
        <w:ind w:left="980" w:right="40" w:hanging="324"/>
        <w:spacing w:after="0" w:line="255"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88" w:lineRule="exact"/>
        <w:rPr>
          <w:rFonts w:ascii="Times New Roman" w:cs="Times New Roman" w:eastAsia="Times New Roman" w:hAnsi="Times New Roman"/>
          <w:sz w:val="18"/>
          <w:szCs w:val="18"/>
          <w:color w:val="auto"/>
        </w:rPr>
      </w:pPr>
    </w:p>
    <w:p>
      <w:pPr>
        <w:ind w:left="980" w:right="20" w:hanging="324"/>
        <w:spacing w:after="0" w:line="255"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Affordable Care Act, or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 and</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6" w:name="page27"/>
    <w:bookmarkEnd w:id="26"/>
    <w:p>
      <w:pPr>
        <w:ind w:firstLine="648"/>
        <w:spacing w:after="0" w:line="254"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 individuals have the ability to bring actions on behalf of the U.S. government under the federal FCA, as well as under the false claims laws of several states.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9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Much like the federal Anti-Kickback Statute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mainly governed by the national anti-bribery laws of the member states, such as the UK Bribery Act 2010, or national anti-kickback provisions (France, Belgium, etc.). Infringement of these laws could result in substantial fines and imprisonment. In certain member states, payments made to physicians must be publicly disclosed. Moreover, agreements with physicians often must be the subject of prior notification and approval by the physician’s employer, his or her competent professional organization and/or the regulatory authorities of the individual member states. These requirements are provided in the national laws, industry codes or professional codes of conduct, applicable in the member states. Failure to comply with these requirements could result in reputational risk, public reprimands, administrative penalties, fines or imprisonment.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Additional Regulation</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Foreign Corrupt Practices Act</w:t>
      </w:r>
    </w:p>
    <w:p>
      <w:pPr>
        <w:spacing w:after="0" w:line="229" w:lineRule="exact"/>
        <w:rPr>
          <w:sz w:val="20"/>
          <w:szCs w:val="20"/>
          <w:color w:val="auto"/>
        </w:rPr>
      </w:pPr>
    </w:p>
    <w:p>
      <w:pPr>
        <w:jc w:val="both"/>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Similar rules apply to many other countries worldwide such as France (“</w:t>
      </w:r>
      <w:r>
        <w:rPr>
          <w:rFonts w:ascii="Times New Roman" w:cs="Times New Roman" w:eastAsia="Times New Roman" w:hAnsi="Times New Roman"/>
          <w:sz w:val="18"/>
          <w:szCs w:val="18"/>
          <w:i w:val="1"/>
          <w:iCs w:val="1"/>
          <w:color w:val="auto"/>
        </w:rPr>
        <w:t>Loi Sapin”</w:t>
      </w:r>
      <w:r>
        <w:rPr>
          <w:rFonts w:ascii="Times New Roman" w:cs="Times New Roman" w:eastAsia="Times New Roman" w:hAnsi="Times New Roman"/>
          <w:sz w:val="18"/>
          <w:szCs w:val="18"/>
          <w:color w:val="auto"/>
        </w:rPr>
        <w:t>) or the United Kingdom (UK Bribery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Healthcare Reform</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established the Center for Medicare &amp; Medicaid Innovation at the CMS to test innovative payment and service delivery models to lower Medicare and Medicaid spending.</w:t>
      </w:r>
    </w:p>
    <w:p>
      <w:pPr>
        <w:spacing w:after="0" w:line="194"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Since its enactment, there have been a number of significant changes to the ACA. On June 17, 2021, the U.S. Supreme Court dismissed the most recent judicial challenge to the ACA without specifically ruling on the constitutionality of the ACA. Prior to the U.S.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More recently, on March 11, 2021, President Biden signed the American Rescue Plan Act of 2021 into law, which eliminated the statutory Medicaid drug rebate cap, currently set at 100% of a drug’s average manufacturer price, beginning January 1, 2024.</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8" w:name="page29"/>
    <w:bookmarkEnd w:id="28"/>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the Budget Control Act of 2011 and the Bipartisan Budget Act of 2015 led to aggregate reductions of Medicare payments to providers of 2% per fiscal year that will remain in effect through 2030, unless additional Congressional action is taken. Further,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 August 2022, the Inflation Reduction Act authorized Medicare to negotiate drug prices for certain high expenditure, single source Medicare part B or D drugs.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obtain regulatory approval. In the United States, cosmetics are not generally eligible for coverage and reimbursement and thus any products that are marketed as cosmetics will not be covered or reimbursed. In the United States and markets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A decision by a third-party payor not to cover our products could reduce physician utilization of our products once approved and have a material adverse effect on our sales, results of operations and financial condition.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9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 addition,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a result, the coverage determination process will require us to provide scientific and clinical support for the use of our products to each payor separately and will be a time-consuming process.</w:t>
      </w:r>
    </w:p>
    <w:p>
      <w:pPr>
        <w:spacing w:after="0" w:line="162" w:lineRule="exact"/>
        <w:rPr>
          <w:sz w:val="20"/>
          <w:szCs w:val="20"/>
          <w:color w:val="auto"/>
        </w:rPr>
      </w:pPr>
    </w:p>
    <w:p>
      <w:pPr>
        <w:jc w:val="both"/>
        <w:ind w:right="340" w:firstLine="648"/>
        <w:spacing w:after="0" w:line="277" w:lineRule="auto"/>
        <w:rPr>
          <w:sz w:val="20"/>
          <w:szCs w:val="20"/>
          <w:color w:val="auto"/>
        </w:rPr>
      </w:pPr>
      <w:r>
        <w:rPr>
          <w:rFonts w:ascii="Times New Roman" w:cs="Times New Roman" w:eastAsia="Times New Roman" w:hAnsi="Times New Roman"/>
          <w:sz w:val="17"/>
          <w:szCs w:val="17"/>
          <w:color w:val="auto"/>
        </w:rPr>
        <w:t>Third-party 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payors do not consider a product to be cost-effective compared to other available therapies, they may not cover the product as a benefit under their plans or, if they do, the level of payment may not be sufficient to allow a company to sell its products at a profit.</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9" w:name="page30"/>
    <w:bookmarkEnd w:id="29"/>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Outside of the United States, the pricing of pharmaceutical products is subject to governmental control in many countries. For example, in the European Union, pricing and reimbursement schemes vary widely from member state to member state.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 Laws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FTC Act), that govern the collection, use, disclosure, and protection of health-related and other personal information could apply to our operations or the operations of our partners. In addition, certain state and non-U.S. laws, such as the California Consumer Protection Act, the California Privacy Rights Act, and the General Data Protection Regulation, or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Agreements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License Agreement with Walter Reed Army Institute of Research</w:t>
      </w:r>
    </w:p>
    <w:p>
      <w:pPr>
        <w:spacing w:after="0" w:line="22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On August 24, 2021, APT entered into a Biological Materials License Agreement (or, as modified on August 31, 2022, the WRAIR License Agreement) with Walter Reed Army Institute of Research or WRAIR, pursuant to which APT received a nonexclusive worldwide license to certain materials and information, including approximately 100 phage, or WRAIR Materials, to develop and commercialize phage products to treat/prevent Pseudomonas aeruginosa, Acinebactor baumannii, Staphylococcus aureus, Klebsiella pneumonia, wound and UTI Escherichia coli and Enterobacter cloacae bacterial infections. The Company uses the phage provided in connection with the WRAIR License Agreement as a potential source of phage for the development of its phage treatments.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WRAIR License Agreement, APT paid WRAIR an initial execution fee in the mid-thousands of dollars and agreed to pay a maintenance fee in the mid-thousands of dollars per year. We are also required to pay royalties expressed as a percentage in the low single digits on net sales of products that incorporate the WRAIR Materials, or the WRAIR Licensed Products, subject to reductions as described in the WRAIR License Agreement. In addition, if we sublicense our rights under the WRAIR License Agreement we are obligated to pay WRAIR additional sublicense royalties expressed as a percentage in the low teens of the sublicensing receipts we receive from any such sublicense royalties. In addition, additional royalties in the low teens may be assessed on any overdue royalty payments.</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obligated to make written annual progress reports to WRAIR, detailing our efforts to bring any inventions licensed under WRAIR License Agreement to the point of practical application, together with any additional information requested by WRAIR or as contemplated or required under the development plan. As part of our performance under the WRAIR License Agreement, we have agreed to dose the first patient in a clinical trial with a WRAIR Licensed Product within four years from the effective date of the WRAIR License Agreement.</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the event WRAIR files a non-provisional patent application covering the WRAIR Materials and/or the use thereof, provided as part of this License Agreement, WRAIR is obligated to notify us, and we and WRAIR will assess the need and/or desirability of a patent license. In such case, we will have the first right of refusal to negotiate a non-exclusive or exclusive license.</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WRAIR License Agreement will expire as to each WRAIR Material ten years from the date that such WRAIR Material was added to the WRAIR License Agreement unless earlier terminated in accordance with its terms. We may terminate the WRAIR License Agreement upon 60 days’ written notice, and WRAIR may terminate if we are in default and such default has not been remedied within 90 days after written notice of such default.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MTEC Grant Agreement</w:t>
      </w:r>
    </w:p>
    <w:p>
      <w:pPr>
        <w:spacing w:after="0" w:line="227"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Industry and academia have entered into a Consortium Member Agreement to participate in the Medical Technology Enterprise Consortium, or MTEC, a 501(c)(3) biomedical technology consortium working in partnership with the U.S. Department of Defense, for the purpose of conducting research, development and testing in cooperation with the U.S. Government in an overall effort to improve Service member health and performance in diverse environments. In 2019, APT entered into a Base Agreement and Research Project Award, or, collectively, the Research Agreement, with the U.S. Army Medical Research Acquisition Activity, or USAMRAA, and the U.S. Army Medical Research &amp; Development Command, or USAMRDC, to advance personalized phage therapy from niche to broad use. Awards under the Research Agreement are intended to lay the groundwork for rapid advancement of personalized phage therapy to commercialization for the variety of clinical indications and bacterial pathogens representing un-met needs with a focus on infections with significant military relevance. The competitive award was granted by USAMRAA and USAMRDC in collaboration with MTEC. Under the cost reimbursement contract, MTEC reimburses APT for approved incurred costs that are based upon the achievement of certain milestones to support the development of personalized phage therapy. For the period between the acquisition of APT in March 2024 and December 31, 2025, APT received an aggregate of $5.8 million in grants from MTEC.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20 full-time employees. None of our employees is represented by labor unions or covered by collective bargaining agreements. We consider our relationship with our employees to be strong. As of the date of filing this Annual Report, the Company expects to employ a limited number of key employees who will remain in order to allow the Company to continue operating at a basic level to best pursue its strategical alternatives.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currently a virtual company. We maintain a mailing address at 850 New Burton Road, Suite 201, Dover, Delaware 19904, and the telephone number is (972) 545610935. Our corporate website address is www.biomx.com. The content of our website is not intended to be incorporated by reference into this Annual Report or in any other report or document we file and any references to these websites are intended to be inactive textual references only.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 Report before making an investment in our securities. Our business, financial condition, results of operations, or prospects could be materially and adversely affected if any of these risks occurs, and as a result, the market price of our securities could decline and you could lose all or part of your investment. This Annual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Technology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exploration of strategic alternatives could adversely affect our business and our stock price.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2025, we announced that our Israeli subsidiary, BiomX Ltd., commenced insolvency proceedings in Israel. On December 26,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entered into the 2025 Second SPA. The initiation of such insolvency process, combined with the potential for the Investor from the 2025 Second SPA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a majority shareholder upon stockholder approval, creates risks and uncertainties regarding our strategic direction, including our potential inability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consummate any proposed strategic alternative resulting from the process due to, among other things, insufficient funding, market, regulatory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Such potential change in control, resulting from the 2025 Second SPA, could affect our ability to consummate proposed strategic alternatives,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our market price and trading volatility, and potentially lead to a shift in the Company’s business, strategy, and objectives in accordance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our Board may adopt.</w:t>
      </w:r>
    </w:p>
    <w:p>
      <w:pPr>
        <w:spacing w:after="0" w:line="20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stockholder approval required under NYSE American rules in connection with the 2025 Second SPA, we could be unable to access sufficient financing, and could be required to hold additional stockholder meetings and incur significant costs, potentially leading to the delisting of our Common Stock.</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After extensive efforts to raise capital on more favorable terms, we believed that the 2025 Second SPA was the only viable financing alternative available to us at the time. Pursuant to the terms of the 2025 Second SPA, we are required to obtain stockholder approval for this proposal within 60 calendar days from the closing date. If we fail to obtain such stockholder approval for this proposal, we will be required to incur additional costs in order to hold additional stockholder meetings every 60 days to seek such approval as is required under the purchase agreement. Further, until such time as we obtain stockholder approval for this proposal, we will not be able to issue more than 19.99% of our outstanding shares of Common Stock to the Series Y Preferred Stock and warrant holders in connection with the 2025 Second SPA.</w:t>
      </w:r>
    </w:p>
    <w:p>
      <w:pPr>
        <w:spacing w:after="0" w:line="18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If we are unable to obtain such stockholder approval on a timely basis, our ability to access sufficient financing on acceptable terms, or at all, could be materially and adversely affected, and we could be required to further reduce or discontinue our operations, which could materially and adversely affect our business, financial condition and results of our operations. Additionally, failure to obtain the required stockholder approval could also lead to a determination by NYSE American that we do not maintain sufficient ongoing business operations, which could result in the delisting of our Common Stock. Moreover, our inability to obtain such stockholder approval on a timely basis would severely constrain our financial flexibility and could significantly delay our ongoing efforts to evaluate and pursue strategic alternatives and other business opportunities.</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company and have incurred losses since our inception. Subject to availability of sufficient financial and other resources, we anticipate that we will continue to incur significant expenses, and we will continue to incur significant losses for the foreseeable future.</w:t>
      </w:r>
    </w:p>
    <w:p>
      <w:pPr>
        <w:spacing w:after="0" w:line="159"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with limited operating history compared to the long time it takes to develop phage based products. We have incurred losses in each year since BiomX Ltd.’s inception in 2015. As of December 31, 2025, our accumulated deficit was $216.9 million. We do not expect to generate any revenue from the commercial sales of our product candidates in the near term.</w:t>
      </w:r>
    </w:p>
    <w:p>
      <w:pPr>
        <w:spacing w:after="0" w:line="17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we had losses from operations of $41.5 million and $44.5 million, respectively. Subject to availability of sufficient financial and other resources, we anticipate that the level of our expenses will continue to be significant if and as we:</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preclinical and clinical development efforts for any future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and regulatory approvals for any product candidates that successfully complete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product candidates for clinical development and, potentially, commercialization;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in the future to commercialize products for which we obtain marketing approval, if any; and</w:t>
      </w:r>
    </w:p>
    <w:p>
      <w:pPr>
        <w:spacing w:after="0" w:line="16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and help us continue to comply with our obligations as a public company.</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in the future to support our operations which may not be available at terms that are favorable to us and might cause significant dilution to our stockholders or increase our debt towards third parties.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we had cash, cash equivalents and restricted cash of $5.0 million, and we have had recurring losses from operations and negative operating cash flows since inception. We will need to raise additional capital in the future to support our operations and product development activities. In the near term, we expect to continue to fund our operations and other development activities relating to additional product candidates from the cash held by us, governmental and other grants and through future equity and debt financing. We have explored and raised funds in multiple manners since our inception. For instance, we filed in December 2023 a shelf registration statement on Form S-3 that was subsequently declared effective by the SEC and entered into an At the Market Offering Agreement, or the ATM Agreement, with H.C. Wainwright &amp; Co., LLC, or Wainwright, as manager, pursuant to which we may issue and sell shares of our Common Stock having an aggregate offering price of up to $1,765,939 from time to time through Wainwright. We are not obligated to make any sales of Common Stock under the ATM Agreement. On February 27, 2025, we completed a registered direct offering and a concurrent private placement. Additionally, certain warrant holders agreed to exercise their warrants following our agreement to reduce the exercise price. Through these transactions, we generated approximately $12 million. In addition, in March 15, 2024, concurrently with the consummation of the acquisition of APT, we consummated a private placement of $50 million. Most recently, on January 13, 2026, we completed a private placement of preferred stock and warrants under a Securities Purchase Agreement, or the 2025 Second SPA, with an investor for gross proceeds of $3.0 million.</w:t>
      </w:r>
    </w:p>
    <w:p>
      <w:pPr>
        <w:spacing w:after="0" w:line="19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anticipate conducting additional capital raises in the future. If we enter into a collaboration for one or more of our current or future product candidates at an earlier development stage, the terms of such a collaboration will likely be less favorable than if we were to enter the collaboration in later stages or if we commercialized the product independently. If we raise additional funds through equity offerings, the terms of these securities may include liquidation or other preferences that adversely affect our stockholders’ rights or cause significant dilution to our stockholders. If we raise additional capital through debt financing, it would be subject to fixed payment obligations and may be subject to covenants limiting or restricting our ability to take specific actions, such as incurring additional debt, making capital expenditures, declaring dividends or acquiring or licensing intellectual property rights.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Developing drugs and conducting clinical trials is expensive. Our future funding requirements will depend on many factors, including:</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progress of our research and development and clinical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associated with our targeted bacteriophage, or phage, therapies strategy and other research and development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acquisition or other arrangements that we may establish;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as well as external costs such as fees paid to outside consultants;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seeking regulatory approvals and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applications, claims, patents and other intellectual property rights.</w:t>
      </w:r>
    </w:p>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Domestic and international equity and debt markets have experienced and may continue to experience heightened volatility and turmoil based on domestic and international economic conditions and concerns. In the event these economic conditions and concerns continue or worsen and the markets continue to remain volatile, or a bear market, or recession, ensues in the U.S. stock market, or the markets are negatively impacted by factors such as Israel’s war with Hamas and Hezbollah, the Russian invasion of Ukraine and the resulting world sanctions on Russia, Belarus, and related parties or other sources of geopolitical uncertainty and instability, our operating results and liquidity could be affected adversely by those factors in many ways, including making it more difficult for us to raise funds if necessary and our stock price may decline.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sufficient funds will be available to us when required or on acceptable terms, if at all. Our inability to obtain additional funds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5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may evaluate various additional acquisition opportunities and strategic partnerships, including licensing or acquiring complementary or unrelated products, intellectual property rights, technologies or businesses. Any potential acquisition or strategic partnership may entail numerous risks, including:</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161"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statements contain an explanatory paragraph regarding substantial doubt about our ability to continue as a going concern, which could prevent us from obtaining new financing on reasonable terms or at all.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financial statements contain an explanatory paragraph regarding substantial doubt about our ability to continue as a going concern. We have concluded that there is substantial doubt about our ability to continue as a going concern. We have accumulated a deficit of $216.9 million since our inception. To date, we have not generated revenue from our operations and we do not expect to generate any significant revenues from sales of products in the next twelve months. Our cash needs may increase in the foreseeable future. As of December 31, 2025, we had $5.0 million in cash and cash equivalents and restricted cash.</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believe our cash and cash equivalents on hand, including the cash raised in January 2026, as described under “Liquidity and Capital Resources” in Item 7 of this Annual Report, will be sufficient to meet our working capital and capital expenditure requirements through the end of the second quarter of 2026. Our continuation as a going concern is dependent upon many factors, including our ability to raise additional funds, the success of our clinical trial for DFI/DFO and our ability to repay our obligations when due. We cannot be sure that we will be able to obtain any future funding, and any such funding we may obtain may not be sufficient to finance our operations. If we are unable to obtain sufficient funds, we may be unable to continue as a going concern.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seeking to develop product candidates using phage technology, an approach for which it is difficult to predict the time and cost of development. To our knowledge, as of the date of this Annual Report, no bacteriophage has thus far been approved as a drug in the United States or in the European Union.</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developing our drug product candidates with phage technology. We have not, nor to our knowledge has any other company, received regulatory marketing approval from the FDA, or equivalent foreign regulatory agencies for a drug product based on this approach (phage technology). While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have characterized the behavior of phage in cell cultures and animal models and there exists a body of literature regarding the use of phage therapy in humans, the safety and efficacy of phage therapy in humans has not been extensively studied in well-controlled modern clinical trials. Most of the prior research on phage-based therapy was conducted in the former Soviet Union prior to and immediately after World War II and lacked appropriate control group design or lacked control groups at all. Furthermore, the standard of care has changed substantially during the ensuing decades since those studies were performed, diminishing the relevance of prior claims of improved cure rates. Any product candidates that we develop may not demonstrate in patients the therapeutic properties ascribed to them in laboratory and other preclinical studies, and they may interact with human biological systems in unforeseen, ineffective or even harmful ways. We cannot be certain that our approach will lead to the development of approvable or marketable drug products. Furthermore, the bacterial targets of phage may develop resistance to our product candidates over time, which we may or may not be able to overcome with the development of new phage cocktails or we may not be able to construct a cocktail with sufficient coverage of our target pathogen universe.</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our product candidates receive regulatory approval but do not achieve an adequate level of acceptance by physicians, healthcare payors and patients, we may not generate product revenue sufficient to attain profitability. Our success will depend upon physicians who specialize in the treatment of diseases targeted by our product candidates that we pursue as drugs, prescribing potential treatments that involve the use of our product candidates in lieu of, or in addition to, existing treatments with which they are more familiar and for which greater clinical data may be available. Our success will also depend on consumer acceptance and adoption of our products that we commercialize. Adverse events in preclinical studies and clinical trials of our product candidates or in clinical trials of others developing similar products and the resulting publicity, as well as any other adverse events in the field of phage therapeutics, could result in a decrease in demand for any product that we may develop. The degree of market acceptance of any approved products will depend on a number of factors, including:</w:t>
      </w:r>
    </w:p>
    <w:p>
      <w:pPr>
        <w:spacing w:after="0" w:line="19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advantages or disadvantages over alternative treatments;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product, both in absolute terms and relative to alternative treatments;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Developing our product candidates on a commercial scale will require substantial technical, financial and human resources. We and our third-party collaborators may experience delays in developing manufacturing capabilities for our product candidates, and may not be able to do so at the scale required to efficiently conduct the clinical trials required to obtain regulatory approval of those of our product candidates that require it, or to manufacture commercial quantities of our products, if approved or otherwise permitted to be marketed.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5" w:name="page36"/>
    <w:bookmarkEnd w:id="35"/>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clinical testing which may fail to demonstrate the requisite safety and efficacy for drug products, or safety, purity, and potency for biologics, and any of our product candidates could cause adverse effects, which would substantially delay or prevent regulatory approval and/or commercialization.</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Before we can obtain regulatory approval for a product candidate or otherwise obtain evidence allowing us to market the product as a drug or biologic, we must undertake extensive preclinical and clinical testing in humans to demonstrate safety and efficacy or in the case of biologics, safety, purity, and potency, to the satisfaction of the FDA or other regulatory agencies. Clinical trials of product candidates sufficient to obtain regulatory marketing approval or otherwise demonstrate safety prior to marketing, are expensive and take years to complete. Furthermore, results from these clinical trials may not show safety or efficacy of our product candidates sufficient to lead to approval, or to warrant further development. Our approach is intended to design phage combinations, or cocktails, to target specific strains of pathogenic bacteria in order to alter microbiome composition and confer potential therapeutic or cosmetic benefit to patients. However, there can be no assurance that the eradication of the selected targets will result in a clinically meaningful effect on the underlying disease, such as in cases where the pathology of the disease is not well-defined. In addition, the bacteria that we target may be associated with the disease, but may not be causative or contributive to the pathology of the disease, or there may be other bacteria that our product candidates do not target that are more meaningful drivers of the underlying disease. In addition, our product candidates require the use of effective delivery vehicles to reach the target organ or tissue, and there can be no assurance that our intended delivery systems will allow our product candidates to reach the desired locations in a patient. Safety must first be established through preclinical testing and early clinical trials, before efficacy can be evaluated and established and thereby lead to FDA or other regulatory agencies marketing approval. Our clinical trials may produce undesirable side effects or negative or inconclusive results, and we may decide, or regulators may require us, to conduct additional clinical and/or preclinical testing or to abandon programs.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geopolitical instability have adversely affected and may continue to adversely affect our business, including our clinical trials.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General economic, political, demographic and business conditions worldwide, including geopolitical uncertainty and instability, such as the Israel’s war with Hamas and Hezbollah and the Russia-Ukraine conflict, might adversely affect our business, through indirect disruption to our supply chain, harming our ability to raise funds at terms acceptable to us among other affects. We may further experience additional disruptions that could severely impact our business, preclinical studies and clinical trials, including:</w:t>
      </w:r>
    </w:p>
    <w:p>
      <w:pPr>
        <w:spacing w:after="0" w:line="180"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25"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to our sourced discovery and clinical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trade policy, including the imposition of tariffs, may adversely affect our business, results of operations and financial condition.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U.S. and various foreign governments have established certain trade and tariff requirements. From time to time, the U.S. government has indicated a willingness to revise or renegotiate tariffs on certain goods imported into the U.S. Since we rely on certain components from certain countries in the European Union, such steps, if adopted, could adversely impact our business, increase our costs, and make our products less competitive.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for therapeutic indications, we will not be able to commercialize, or will be delayed in commercializing, our product candidates, and our future ability to generate revenue will be materially impaired.</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for therapeutic indications, including their design, testing, manufacture, safety, efficacy, recordkeeping, labeling, storage, approval, advertising, promotion, sale, distribution, import and export are subject to regulation by the FDA and other regulatory agencies in the United States and by equivalent foreign regulatory authorities. Before we can commercialize any of our product candidates for therapeutic indications,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for therapeutic indications, both in the United States and in other countries, is expensive, may take many years if additional clinical trials are required,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or equivalent application types, may cause delays in the approval or rejection of an application. The FDA and equivalent foreign regulatory authorities have substantial discretion in the approval process and may refuse to accept any application or may decide that our data is insufficient for approval and require additional preclinical, clinical or other studies. There is uncertainty around new budget and staffing cuts imposed by the Trump administration on the FDA, which may affect the timely development, approval and commercialization of new drugs. Also, the Trump administration may change or overhaul existing drug regulations, which would lead to additional time and money to comply with. Furthermore, the Trump administration’s tariffs could raise the cost of the clinical operations or affect the supply chains. Our product candidates could be delayed in receiving, or fail to receive, regulatory approval for many reasons, including the following:</w:t>
      </w:r>
    </w:p>
    <w:p>
      <w:pPr>
        <w:spacing w:after="0" w:line="194" w:lineRule="exact"/>
        <w:rPr>
          <w:sz w:val="20"/>
          <w:szCs w:val="20"/>
          <w:color w:val="auto"/>
        </w:rPr>
      </w:pPr>
    </w:p>
    <w:p>
      <w:pPr>
        <w:ind w:left="980" w:right="1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equivalent foreign regulatory authorities may disagree with the design, including study population, dose level, dose regimen, and bioanalytical assay methods, or implementation of our clinical trials;</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equivalent foreign regulatory authorities that a drug candidate is safe and effective for its proposed indication or a related companion diagnostic is suitable to identify appropriate patient populations;</w:t>
      </w:r>
    </w:p>
    <w:p>
      <w:pPr>
        <w:spacing w:after="0" w:line="16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equivalent foreign regulatory authorities for approval, such as was the case with our acne product candidate;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equivalent foreign regulatory authorities may disagree with our interpretation of data from preclinical studies or clinical trials;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marketing application or other submission or to obtain regulatory approval in the United States or elsewhere;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equivalent foreign regulatory authorities may fail to approve the manufacturing processes or facilities of third-party manufacturers with which we contract for clinical and commercial supplies; and</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equivalent foreign regulatory authorities may significantly change in a manner rendering our clinical data insufficient for approval.</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equivalent foreign regulatory approval processes and are commercialized. The lengthy approval process as well as the unpredictability of future clinical trial results may result in us failing to obtain regulatory approval to market its product candidates, which would significantly harm our business, results of operations and prospects.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FDA may also require a panel of experts, referred to as an Advisory Committee, to deliberate on the adequacy of the safety and efficacy data to support approval for therapeutic indications. The opinion of the Advisory Committee, although not binding, may have a significant impact on our ability to obtain approval of any product candidates that we develop based on the completed clinical trials. In the European Union, the safety and efficacy data of any product candidate considered by the EMA to qualify as an advanced therapy medicinal product must be reviewed by the EMA’s, Committee for Advanced Therapies, a group of experts in advanced therapy medicinal products.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Moreover, under PREA, in the United States, and the Pediatric Regulation, in the European Union, the FDA or equivalent foreign regulatory authority could require mandatory testing in the pediatric population. Applications for approval in the United States or in the European Union must contain data to assess the safety and efficacy of the biologic for the claimed indications in all relevant pediatric subpopulations and to support dosing and administration for each pediatric subpopulation for which the product is safe and effective. The FDA or equivalent foreign regulatory authority may, in its discretion, grant full or partial waivers, or deferrals, for submission of data in pediatric subjects. If the FDA requires data in pediatric patients, significantly more capital will have to be invested in order to conduct the mandatory pediatric clinical trials and studies, but the approval of the medicinal products for the adult population should normally not be affected. If the results of such pediatric studies are not positive, our product candidates will not be approved for children.</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therapeutic indications than our requests, may include limitations for use or contraindications that limit the suitable patient population,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future ability to generate revenues will be materially impaired.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any revenue from product sales and may never be profitable or, if achieved, may not sustain profitability.</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Our ability to generate meaningful revenue and achieve profitability depends on our ability, and the ability of any third party with which we may partner, to successfully complete the development of, and meet regulatory requirements, including (but not limited to) obtaining any necessary regulatory approvals, to commercialize our product candidates. We do not currently meet regulatory requirements or have the required approvals to market our product candidates and may never meet or receive them. We do not anticipate generating revenue from product sales for the foreseeable future, if ever. If any of our product candidates fail in clinical trials or if any of our product candidates do not meet regulatory requirements, including gaining regulatory approval when needed, or if any of our product candidates, if marketed, fail to achieve market acceptance, we may never become profitable. Even if we achieve profitability in the future, we may not be able to sustain profitability in subsequent periods. Our ability to generate future revenue from product sales depends heavily on our success in:</w:t>
      </w:r>
    </w:p>
    <w:p>
      <w:pPr>
        <w:spacing w:after="0" w:line="19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preclinical and clinical development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product candidates for which we complete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regulatory requirements for marketing the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scalable, reproducible and transferable manufacturing process for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8" w:name="page39"/>
    <w:bookmarkEnd w:id="38"/>
    <w:p>
      <w:pPr>
        <w:ind w:left="980" w:right="44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regulatory and marketing approval or are otherwise permitted to market, either by establishing a sales force, marketing and distribution infrastructure or by collaborating with a partner;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any approved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validating new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Even if one or more of the product candidates that we develop is approved for commercial sale or otherwise permitted for marketing, we anticipate incurring significant costs associated with commercializing any approved product. Our expenses could increase beyond expectations if we are required by the FDA, or the EMA, or other equivalent foreign regulatory agencies to perform clinical trials and other studies in addition to those that we currently anticipate. Even if we are able to generate revenue from the sale of any approved products, we may not become profitable and may need to obtain additional funding to continue operations. If we fail to become profitable, or if we are unable to fund our continuing losses, our business, financial condition and results of operations may be materially adversely impacted.</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seeking to develop product candidates to treat medical conditions related to the presence of certain bacteria. Our success is largely dependent on a broad degree of market acceptance, and in the case of drug products, physician adoption and use, which are necessary for commercial success.</w:t>
      </w:r>
    </w:p>
    <w:p>
      <w:pPr>
        <w:spacing w:after="0" w:line="1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Even if we obtain FDA or foreign regulatory approvals for our drug product candidates, the commercial success of our product candidates will depend on consumer acceptance and adoption of products that we commercialize. Adverse events in preclinical studies and clinical trials of our product candidates or in clinical trials of others developing similar products and the resulting publicity could result in a decrease in demand for any product that we may develop.</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commercial success of our drug product candidates will depend significantly on their broad adoption and use by pediatricians and other physicians for approved therapeutic indications, as well as any other indications for which we may seek approval. We cannot be certain that our approach will lead to the development of approvable or marketable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high titers for specific phage cocktails necessary for our preclinical and clinical testing may be difficult and time-consuming.</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product candidates are phage cocktails that we have designed to meet specific characteristics. We and our contract manufacturers produce a cocktail of multiple phage and it may be difficult or time-consuming to achieve high titers, or levels, of phage sufficient for our preclinical and clinical testing. In some cases, it may require multiple product runs in order for us to obtain the amounts necessary for its clinical testing. This may result in delays in our clinical trial timelines, and it may increase production costs and associated expenses. Also, it may be difficult to reproduce the manufacturing process to the extent that more significant quantities are required as our product candidates advance through the clinical development process.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from preclinical studies of our product candidates may not be predictive of the results of clinical trials or later stage clinical development.</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Preclinical studies of our product candidates, such as BX011, including studies in animal disease models may not accurately predict the safety of the product candidate such that further human clinical trials would be allowed to proceed. In particular, promising preclinical testing suggesting the potential efficacy of prototype phage products may not predict the ability of these products to address conditions in the human clinical settings. For example, while we have studied phage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these results may not be replicated when our phage cocktails are administered to human subjects. Despite promising data in any preclinical studies, our phage technology may be found not to be efficacious when studied in clinical trials.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To satisfy FDA or equivalent foreign regulatory approval standards, we must demonstrate in adequate and well controlled clinical trials that our drug product candidates are safe and effective for their intended use. Success in preclinical testing and early-stage clinical trials does not ensure that later clinical trials will be successful. Our initial results from preclinical testing also may not be confirmed by later analysis or subsequent larger clinical trials. A number of companies in the pharmaceutical industry have suffered significant setbacks in advanced clinical trials, even after obtaining promising results in earlier clinical trials, and most product candidates that commence clinical trials are never approved for commercial sale.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Completion of clinical trials depends, among other things, on our ability to enroll a sufficient number of patients, which is a function of many factors, including:</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endpoints chosen for evaluation;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defined in the protocol;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benefit of the product candidate under study;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clinical trial’s therapeutic endpoints;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and sites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patients from clinical trials for other treatments.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experienced and may continue to experience difficulties in enrolling patients in our clinical trials, including recently with respect to enrollment in our DFO phase 2 study, which could increase the costs or affect the timing or outcome of these clinical trials. This is particularly true with respect to diseases with relatively small patient populations. In addition, potential patients for our trials may not be adequately diagnosed or identified with the diseases that we are targeting or may not meet the entry criteria for our studies.</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if we are unable to locate a sufficient number of eligible patients to participate in the clinical trials required by the FDA or equivalent foreign regulatory agencies. In addition, the process of finding and diagnosing patients may prove costly. Our inability to enroll a sufficient number of patients for any of our clinical trials would result in significant delays or may require us to abandon one or more clinical trials.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0" w:name="page41"/>
    <w:bookmarkEnd w:id="40"/>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clinical holds, in our clinical trials could result in us not achieving anticipated developmental milestones when expected, increased costs and delays in our ability to obtain regulatory approval for and commercialization of our product candidates.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Delays in our clinical trials could result in us not meeting anticipated clinical milestones and could materially impact our product development costs and delay regulatory approval of our product candidates. Planned clinical trials may not be commenced or completed on schedule, or at all. Furthermore, our clinical trials may become subject to a clinical hold based on the evaluation of data and information submitted to the governing regulatory authorities.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Clinical trials can be delayed, or be subject to a clinical hold, for a variety of reasons, including:</w:t>
      </w:r>
    </w:p>
    <w:p>
      <w:pPr>
        <w:spacing w:after="0" w:line="225"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manufacturing capabilities for our product candidates to enable their consistent production at clinical trial scale;</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in our internal manufacturing operations that result in our inability to consistently and timely produce bacteriophage in sufficient quantities to support our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our planned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clinical investigators on study design;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trial design or in obtaining regulatory approval to commence a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clinical materials;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patient recruitment for participation in clinical trials;</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constraints or injunctions (for example, from supervisory authorities in case of noncompliance with cybersecurity and data privacy laws);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trial sites, other third parties or us to adhere to clinical trial agreements and/or the trial protocol;</w:t>
      </w:r>
    </w:p>
    <w:p>
      <w:pPr>
        <w:spacing w:after="0" w:line="225"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clinical trial agreement terms with prospective sites or obtaining IRB or independent ethics committee approval;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events experienced during our clinical trials.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we do not successfully commence or complete our clinical trials on schedule, the price of our securities may decline. Significant preclinical or clinical trial delays or suspensions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1" w:name="page42"/>
    <w:bookmarkEnd w:id="41"/>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effects that could halt their clinical development, prevent their approval or marketing, limit their commercial potential or result in significant negative consequences.</w:t>
      </w:r>
    </w:p>
    <w:p>
      <w:pPr>
        <w:spacing w:after="0" w:line="15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Adverse effects could occur and cause us or regulatory authorities to interrupt, delay or halt clinical trials and could result in a more restrictive label or the delay or denial of marketing approval by the FDA or equivalent foreign regulatory agencies. Results of our trials could reveal a high and unacceptable severity and prevalence of side effects or unexpected characteristics. For example, adverse events experienced by participants in our Study contributed to our decision to discontinue further development of BX004, followed by additional internal analysis and feedback from the DMC, which recommended consideration of adjusting dosing regimen.</w:t>
      </w:r>
    </w:p>
    <w:p>
      <w:pPr>
        <w:spacing w:after="0" w:line="18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If adverse effects arise in the development of our product candidates, we, the FDA or equivalent foreign regulatory agencies, the IRBs or independent ethics committees at the institutions in which our studies are conducted, or the Data Safety Monitoring Board could suspend or terminate our clinical trials or the FDA or equivalent foreign regulatory agencies could deny approval of our product candidates for any or all targeted indications.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intend to continue to evaluate our product candidates for safety and tolerability in the form of Phase 1 clinical trials. While our current and future product candidates will undergo safety testing to the extent possible and, where applicable, under such conditions discussed with regulatory authorities, not all adverse effects of drugs can be predicted or anticipated. Unforeseen adverse effects could arise either during clinical development or, if such adverse effects are more rare, after our products have been approved by regulatory authorities and the approved product has been marketed, resulting in the exposure of additional patients. For example, while we screen our phage in attempts to minimize safety issues, there can be no assurance that we will eliminate the risk of the appearance of virulence genes, antibiotic resistance genes, lysogenic genes, integrase genes, or other toxic genes in our phage, or of adverse reactions to our phage in a patient’s immune system. So far, we have not demonstrated, and we cannot predict, if ongoing or future clinical trials will demonstrate that any of our product candidates are safe in humans. 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adverse effects.</w:t>
      </w:r>
    </w:p>
    <w:p>
      <w:pPr>
        <w:spacing w:after="0" w:line="19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Ultimately, some or all of our product candidates may prove to be unsafe for human use. Moreover, we could be subject to significant liability if any volunteer or patient suffers, or appears to suffer, adverse health effects as a result of participating in our clinical trials. Any of these events could prevent us from achieving or maintaining market acceptance of our product candidates and could substantially increase commercialization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completed composition development of our product candidates.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development of our product candidates requires that we isolate, select, optimize and combine a number of phage that target the desired bacteria for that product candidate. The selection of phage for any of our product candidates is based on a variety of factors, including, without limitation, the ability of the selected phage, in combination, to successfully kill the targeted bacteria, the degree of cross-reactivity of the individual phage with the same part of the bacterial targets, the ability of the combined phage to satisfy regulatory requirements, our ability to manufacture sufficient quantities of the phage, intellectual property rights of third parties, and other factors. While we have selected an initial formulation of BX011, there can be no assurance that this initial formulation will be the final formulations of this product candidate for commercialization if approved. If we are unable to complete formulation development of our product candidates in the time frame that we have anticipated, then our product development timelines, and the regulatory approval of our product candidates, could be delayed.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continue to develop manufacturing processes for our product candidates, and any delay in doing so, or our inability to do so, would result in delays in our clinical trials.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manufacturing processes for our product candidates, and the scale-up of such processes for clinical trials, may present challenges, and there can be no assurance that we will be able to complete this work in a timely manner, if at all. Any delay in the development or scale-up of these manufacturing processes could delay the start of clinical trials and harm our business. In order to scale-up our manufacturing capacity, we need to either build additional internal manufacturing capacity, contract with one or more partners, or both. Our technology and the production process for our equipment and tools are complex and we may encounter unexpected difficulties in manufacturing our product candidates. For example, the manufacturing hosts that we use to produce our phage may contain one or more integrated phage in their genomes that, if we are unable to remove, can present challenges in manufacturing of the produced phage. There is no assurance that we will be able to continue to build manufacturing capacity internally or find one or more suitable partners, or both, to meet the necessary volume and quality requirements. Manufacturing and product quality issues may arise as we increase the scale of our production. Any delay or inability in establishing or expanding our manufacturing capacity could diminish our ability to develop our product candidates.</w:t>
      </w:r>
    </w:p>
    <w:p>
      <w:pPr>
        <w:spacing w:after="0" w:line="19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If we submit marketing applications for any of our product candidates manufactured by third-party manufacturers, the manufacturing facilities used to produce such product candidates will be subjected to ongoing periodic inspection for compliance with European, FDA and cGMP regulations. Compliance with these regulations and standards is complex and costly, and there can be no assurance that we will be able to comply. Any failure to comply with applicable regulations could result in sanctions being imposed (including fines, injunctions and civil penalties), failure of regulatory authorities to grant marketing approval of our product candidates, delays, suspension or withdrawal of approvals, license revocation, seizures or recalls of product candidates or products, operating restrictions and criminal prosecution.</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are able to develop and market products that are more effective, safer or more affordable than ours, or obtain marketing approval before we do, our commercial opportunities may be limited.</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Competition in the biotechnology and pharmaceutical industries is intense and continues to increase. Some companies that are larger and have significantly more resources than us are aggressively pursuing development programs for indications that we are pursuing, including traditional therapies and therapies with novel mechanisms of action. In addition, other companies are developing phage-based products for therapeutic and non-therapeutic uses, and may elect to use their expertise in phage development and manufacturing to try to develop products that would compete with our products.</w:t>
      </w:r>
    </w:p>
    <w:p>
      <w:pPr>
        <w:spacing w:after="0" w:line="18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We also face potential competition from academic institutions, government agencies and private and public research institutions engaged in the discovery and development of drugs and therapies. Many of our competitors have significantly greater financial resources and expertise in research and development, preclinical testing, conducting clinical trials, obtaining regulatory approvals, manufacturing, sales and marketing than we do. Smaller or early-stage companies may also prove to be significant competitors, particularly through collaborative arrangements with large and established pharmaceutical companies.</w:t>
      </w:r>
    </w:p>
    <w:p>
      <w:pPr>
        <w:spacing w:after="0" w:line="18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the European Union, potential competition also comes from medicinal preparations made by hospitals or pharmacists and administered without marketing authorizations, generally referred to as “compounding.” In some member states, national authorities generally promote compounding in order to reduce healthcare expenses.</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competitors may succeed in developing products that are more effective, have fewer side effects and are safer or more affordable than our product candidates, which would render our product candidates less competitive or noncompetitive. These competitors also compete with us to recruit and retain qualified scientific and management personnel, establish clinical trial sites and patient registration for clinical trials, as well as to acquire technology and technology licenses complementary to our programs or advantageous to our business. Moreover, competitors that are able to achieve patent protection, obtain regulatory approvals and commence commercial sales of their products before we do, and competitors that have already done so may enjoy a significant competitive advantage.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Although we intend to utilize our technology to evaluate other therapeutic opportunities in addition to the product candidates that we are currently developing, we may fail to identify other product candidates for clinical development for a number of reasons. For example, our research methodology may not be successful in identifying potential product candidates, or those we identify may be shown to have harmful side effects or other characteristics that make them unmarketable or unlikely to receive regulatory approval. In addition, we may not be able to identify phage that eradicate the target bacteria, including due to sourcing difficulties such as lack of diversity, inability to obtain samples in a timely manner or at all, or contamination in the samples. We may also encounter difficulties in designing phage cocktails that meet the requirements of an investigational therapy, including due to the build-up of resistances in bacteria to our phage, the range of host bacteria that are affected by our phage, the variety of activity on different bacteria growth states, issues with toxicity in our phage, and the stability, robustness and ease of manufacturing of our product candidates. In addition, the designing of synthetically engineered phage may fail to result in the development of phage with the desired characteristics or behaviors that are suitable for use as viable therapies, or may result in phage that contain undesired features such as immunogenicity, toxicity and other safety concerns.</w:t>
      </w:r>
    </w:p>
    <w:p>
      <w:pPr>
        <w:spacing w:after="0" w:line="194"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A key part of our strategy is to utilize our screening technology to identify product candidates to pursue in clinical development. If we fail to identify and develop additional potential product candidates, we may be unable to grow our business and our results of operations could be materially harmed. Such product candidates will require additional, time-consuming development efforts prior to commercial sale, including preclinical studies, clinical trials and approval by the FDA and/or applicable foreign regulatory agencies. All product candidates are prone to the risks of failure that are inherent in pharmaceutical product development.</w:t>
      </w:r>
    </w:p>
    <w:p>
      <w:pPr>
        <w:spacing w:after="0" w:line="17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requirements as well as ethical and social concerns about synthetic biology and genetic engineering could limit or prevent the use of our technologies and limit our revenues.</w:t>
      </w:r>
    </w:p>
    <w:p>
      <w:pPr>
        <w:spacing w:after="0" w:line="159" w:lineRule="exact"/>
        <w:rPr>
          <w:sz w:val="20"/>
          <w:szCs w:val="20"/>
          <w:color w:val="auto"/>
        </w:rPr>
      </w:pPr>
    </w:p>
    <w:p>
      <w:pPr>
        <w:jc w:val="both"/>
        <w:ind w:right="420" w:firstLine="648"/>
        <w:spacing w:after="0" w:line="261" w:lineRule="auto"/>
        <w:rPr>
          <w:sz w:val="20"/>
          <w:szCs w:val="20"/>
          <w:color w:val="auto"/>
        </w:rPr>
      </w:pPr>
      <w:r>
        <w:rPr>
          <w:rFonts w:ascii="Times New Roman" w:cs="Times New Roman" w:eastAsia="Times New Roman" w:hAnsi="Times New Roman"/>
          <w:sz w:val="18"/>
          <w:szCs w:val="18"/>
          <w:color w:val="auto"/>
        </w:rPr>
        <w:t>Our technology may include the use of synthetic biology and genetic engineering. In some countries, drugs made using genetically modified organisms may be subject to a more stringent legal regime, which could prove to be complex and very challenging, especially for a small life sciences company. For example, in the European Union, the rules on genetically modified organisms would apply in addition to the general rules on medicinal products or cosmetic products. The rules on advanced therapy medicinal products may also apply.</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Additionally, public perception about the safety and environmental hazards of, and ethical concerns over, synthetic biology and genetic engineering could influence public acceptance of our technologies, product candidates and processes. If we and our collaborators are not able to overcome the legal challenges as well as the ethical and social concerns relating to synthetic biology and genetic engineering, our technologies, product candidates and processes may not be accepted. These challenges and concerns could result in increased expenses, regulatory scrutiny and increased regulation, trade restrictions on imports of our product candidates, delays or other impediments to our programs or the public acceptance and commercialization of our products. We design and produce product candidates with characteristics comparable or superior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spent significant time and resources developing BX005 and BX004, which we discontinued.</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4" w:name="page45"/>
    <w:bookmarkEnd w:id="44"/>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risk of product liability claims in our business. If we do not obtain sufficient liability insurance, a product liability claim could result in substantial liabilities to us.</w:t>
      </w:r>
    </w:p>
    <w:p>
      <w:pPr>
        <w:spacing w:after="0" w:line="15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business exposes us to significant potential product liability risks that are inherent in the development, manufacturing and marketing of human therapeutic products. Regardless of merit or eventual outcome, product liability claims may result in:</w:t>
      </w:r>
    </w:p>
    <w:p>
      <w:pPr>
        <w:spacing w:after="0" w:line="16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complete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against us;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or other resources from key aspects of our operations.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we succeed in marketing products, product liability claims could result in an FDA or equivalent foreign regulatory agency investigation of the safety or efficacy of our products, our manufacturing processes and facilities or our marketing programs. Such investigation could also potentially lead to a recall of our products or more serious enforcement actions, or limitations on the indications, for which they may be used, or suspension or withdrawal of approval.</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currently only have limited clinical trials insurance policies that cover clinical trials in certain territories. We intend to expand our insurance coverage to include the sale of commercial products if marketing approval is obtained for our product candidates or any other compound that we may develop. However, insurance coverage is expensive, and we may not be able to maintain insurance coverage at a reasonable cost or at all, and the insurance coverage that we have or obtain may not be adequate to cover potential claims or losses.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45" w:name="page46"/>
    <w:bookmarkEnd w:id="45"/>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compared to the long time it takes to develop phage based products may make it difficult to evaluate the success of our business to date and to assess our future viability.</w:t>
      </w:r>
    </w:p>
    <w:p>
      <w:pPr>
        <w:spacing w:after="0" w:line="15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Since inception in 2015 through its dissolution in February 2026, BiomX Ltd. devoted substantially all of its resources to developing product candidates with phage technology through its preclinical programs, building its intellectual property portfolio, developing a supply chain, planning its business, raising capital and providing general and administrative support for these operations. Such development efforts take very long periods of time before they can be proved successful. We have not yet demonstrated our ability to successfully complete any clinical study or other pivotal clinical trials, obtain regulatory approvals, manufacture a commercial-scale product, or arrange for a third-party to do so on our behalf, or conduct sales and marketing activities necessary for successful product commercialization. Consequently, any predictions made about our future success or viability may not be as accurate as they could be if we had a longer operating history.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as an early-stage company, we may encounter unforeseen expenses, difficulties, complications, delays and other known and unknown circumstances. As we advance our product candidates, we will need to transition from a company with a research focus to a company capable of supporting clinical development and, if successful,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grow the size of our organization and may experience difficulties in managing this growth.</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our research, development, manufacturing and commercialization plans and strategies, we may need additional managerial, operational, sales, marketing, financial and other personnel. Future growth would impose significant added responsibilities on members of management, including:</w:t>
      </w:r>
    </w:p>
    <w:p>
      <w:pPr>
        <w:spacing w:after="0" w:line="162" w:lineRule="exact"/>
        <w:rPr>
          <w:sz w:val="20"/>
          <w:szCs w:val="20"/>
          <w:color w:val="auto"/>
        </w:rPr>
      </w:pPr>
    </w:p>
    <w:p>
      <w:pPr>
        <w:ind w:left="980" w:right="6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pursuing strategic alternatives and other business opportunities, including potential collaborations, financings, or other strategic transactions;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compensating, integrating, maintaining and motivating additional employees;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research and development efforts effectively, including identification of clinical candidates, scaling our manufacturing process and navigating the clinical and FDA review process for our product candidates;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6" w:name="page47"/>
    <w:bookmarkEnd w:id="46"/>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additional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our ongoing evaluation of strategic alternatives may not result in any transaction or alternative that improves our prospects, or at all, on terms acceptable to us or our stockholders. If we are unable to identify and execute a viable strategic alternative or otherwise secure sufficient additional resources, we may be required to further reduce or discontinue our operations, delay, limit or terminate development activities, pursue an orderly wind-down, and our business, financial condition and results of operations could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Government</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significant regulatory approval requirements, including the risk of clinical holds, which could delay, prevent or limit our ability to market or develop our product candidates.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preclinical studies, clinical trials and the anticipated manufacturing and marketing of our drug product candidates are subject to extensive regulation by the FDA and other regulatory agencies in the United States and by comparable authorities in Europe and elsewhere. To satisfy FDA or equivalent foreign regulatory approval standards, we must demonstrate in adequate and well controlled clinical trials that our drug product candidates are safe and effective for their intended use. The regulatory approval process is expensive and time-consuming, and the timing of receipt of regulatory approval is difficult to predict. Given the uncertainties around phage therapy, our product candidates could require a significantly longer time to gain regulatory approval than expected or may never gain approval. We cannot be certain that, even after expending substantial time and financial resources, we will obtain regulatory approval for any of our product candidates. A delay or denial of regulatory approval could delay or prevent our ability to generate product revenue and to achieve profitability. In addition, the FDA or comparable foreign regulatory authorities may impose a clinical hold at any time if they determine that we have not satisfied applicable requirements or conditions, which could delay or prevent the initiation or continuation of our clinical trials and materially adversely affect our development timelines and costs.</w:t>
      </w:r>
    </w:p>
    <w:p>
      <w:pPr>
        <w:spacing w:after="0" w:line="1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Regulatory requirements for development of our product candidates are uncertain and evolving. Changes in these laws or the current interpretation or application of these laws would have a significant adverse impact on our ability to develop and commercialize our product candidates. The legal and regulatory status of phage therapy remains unclear in many countries, including the European Union. Changes in regulatory approval policies during the development period of any of our product candidates, changes in, or the enactment of, additional regulations or statutes, or changes in regulatory review practices for a submitted product application may cause a delay in obtaining approval or result in the rejection of an application for regulatory approval.</w:t>
      </w:r>
    </w:p>
    <w:p>
      <w:pPr>
        <w:spacing w:after="0" w:line="18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Regulatory approval, if obtained, may be made subject to limitations on the indicated uses for which we may market a product, as well as the approved labeling for the product. These limitations could adversely affect our potential product revenue. Regulatory approval may also be conditioned on costly post-marketing follow-up studies. In addition, the labeling, packaging, adverse event reporting, storage, advertising, promotion and recordkeeping related to the product will be subject to extensive ongoing regulatory requirements. Furthermore, for any marketed product, our manufacturer and our manufacturing facilities will be subject to registration and listing requirements and continual review and periodic inspections by the FDA or other regulatory authorities. Failure to comply with applicable regulatory requirements may, among other things, result in fines, suspensions of regulatory approvals, product recalls, product seizures, operating restrictions and criminal prosecution.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7" w:name="page48"/>
    <w:bookmarkEnd w:id="4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claims, government enforcement actions (which could include civil or criminal penalties), regulatory actions, private litigation and/or adverse publicity and could negatively affect our operating results and business.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may be subject to federal, state and foreign data protection laws and regulations (i.e., laws and regulations that address privacy and security). In the United States, numerous federal and state laws and regulations, including federal health information privacy laws, state consumer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of 2009.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Additional requirements may also be imposed by international data protection laws. In this context, Regulation 2016/679 of the GDPR (in addition to many other international data protection laws) may have an impact on our operations when we collect and/or process personal data of individuals located in the European Union. The GDPR has applied since May 25, 2018 (replacing previously applicable data protection frameworks) and has an extraterritorial reach. The GDPR allows members states to introduce specific requirements in relation to certain areas, including processing of special categories of data, and we may face further restrictions and non-compliance risks under such national frameworks. We have not yet assessed whether its activities might be caught by the GDPR.</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Because of the types of data we collect and process, which may involve health, biometric and genetic data, we may face high risks for non-compliance with the GDPR rules (or local declinations of GDPR-rules across the different European Union Member States), as these types of data are considered as special categories of data and are granted higher protection. The risks are further increased considering the diverging approach in the European Union as to the rules, requirements and frameworks in relation to the processing of personal data in clinical trials (in matters such as the choice of the legal basis for the processing of data, the possible uses of the personal data collected, etc.) and the interplay with other relevant frameworks. The GDPR introduced stringent data protection requirements in the European Union, as well as potential fines for noncompliant companies of up to the greater of €20 million or 4% of annual worldwide turnover. Supervisory authorities also have the ability to restrict our processing activities if those are deemed not to be in compliance with the GDPR (or local declinations); this may significantly impact the way we conduct our activities. The GDPR imposes numerous requirements for the collection, use and disclosure of personal data, including high standards for consent to be valid, and specific information to be provided to individuals about how their personal data is used, the obligation to notify regulators and (in some cases) to communicate to affected individuals of personal data breaches, extensive new internal privacy governance requirements and obligations to allow individuals to exercise their strengthened privacy rights (e.g., the right to access, correct and delete their personal data, to withdraw their consent, etc.), and obligations when contracting with third parties such as service providers, CROs, etc. In addition, the GDPR includes restrictions on data transfers outside the EEA. The actual mechanisms made available under GDPR to transfer such personal data have received heightened regulatory and judicial scrutiny. If we cannot rely on existing mechanisms for transferring personal data from the EEA, the United Kingdom, or other jurisdictions, we may be unable to transfer personal data in those regions. Further, the United Kingdom’s vote in favor of exiting the European Union, often referred to as “Brexit,” has created uncertainty as to whether or not the United Kingdom data protection legislation will depart from the GDPR and how data transfers to and from the United Kingdom will be regulated.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Such laws and regulations could limit our ability to use and share personal or other data, thereby increasing our costs and harming our business and financial condition. Failure to comply with U.S. and international data protection laws and regulations could result in claims, government enforcement actions (which could include civil or criminal penalties), regulatory actions,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 Finally, we may be required to disclose personal data pursuant to demands from government agencies, from law enforcement agencies, and from intelligence agencies. This disclosure may result in a failure or perceived failure by us to comply with data privacy laws, rules, and regulations and could result in proceedings or actions against us in the same or other jurisdictions, and could have an adverse impact on our reputation and brand.</w:t>
      </w:r>
    </w:p>
    <w:p>
      <w:pPr>
        <w:spacing w:after="0" w:line="18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and the FCA, and foreign equivalent legislation, which may constrain the business or financial arrangements and relationships through which such companies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194" w:lineRule="exact"/>
        <w:rPr>
          <w:sz w:val="20"/>
          <w:szCs w:val="20"/>
          <w:color w:val="auto"/>
        </w:rPr>
      </w:pPr>
    </w:p>
    <w:p>
      <w:pPr>
        <w:ind w:left="980" w:hanging="324"/>
        <w:spacing w:after="0" w:line="254"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w:t>
      </w:r>
    </w:p>
    <w:p>
      <w:pPr>
        <w:spacing w:after="0" w:line="188" w:lineRule="exact"/>
        <w:rPr>
          <w:rFonts w:ascii="Times New Roman" w:cs="Times New Roman" w:eastAsia="Times New Roman" w:hAnsi="Times New Roman"/>
          <w:sz w:val="18"/>
          <w:szCs w:val="18"/>
          <w:color w:val="auto"/>
        </w:rPr>
      </w:pPr>
    </w:p>
    <w:p>
      <w:pPr>
        <w:ind w:left="980" w:right="20" w:hanging="324"/>
        <w:spacing w:after="0" w:line="254"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ind w:left="980" w:right="40" w:hanging="324"/>
        <w:spacing w:after="0" w:line="255"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88" w:lineRule="exact"/>
        <w:rPr>
          <w:rFonts w:ascii="Times New Roman" w:cs="Times New Roman" w:eastAsia="Times New Roman" w:hAnsi="Times New Roman"/>
          <w:sz w:val="18"/>
          <w:szCs w:val="18"/>
          <w:color w:val="auto"/>
        </w:rPr>
      </w:pPr>
    </w:p>
    <w:p>
      <w:pPr>
        <w:ind w:left="980" w:right="80" w:hanging="324"/>
        <w:spacing w:after="0" w:line="255"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created under the Patient Protection and Affordable Care Act and its implementing regulations, which require manufacturers of drugs, devices, biologicals and medical supplies for which payment is available under Medicare, Medicaid or the Children’s Health Insurance Program (with certain exceptions) to report annually to the United States Department of Health and Human Services information related to payments or other transfers of value made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physicians and their immediate family members;</w:t>
      </w:r>
    </w:p>
    <w:p>
      <w:pPr>
        <w:spacing w:after="0" w:line="188"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61" w:lineRule="exact"/>
        <w:rPr>
          <w:rFonts w:ascii="Times New Roman" w:cs="Times New Roman" w:eastAsia="Times New Roman" w:hAnsi="Times New Roman"/>
          <w:sz w:val="18"/>
          <w:szCs w:val="18"/>
          <w:color w:val="auto"/>
        </w:rPr>
      </w:pPr>
    </w:p>
    <w:p>
      <w:pPr>
        <w:ind w:left="980" w:hanging="324"/>
        <w:spacing w:after="0" w:line="274" w:lineRule="auto"/>
        <w:tabs>
          <w:tab w:leader="none" w:pos="9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may be broader in scope than their federal equivalents;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and state and foreign laws that require drug manufacturers to report information related to payments and other transfers of value to physicians and other healthcare providers or marketing expenditures; and</w:t>
      </w:r>
    </w:p>
    <w:p>
      <w:pPr>
        <w:spacing w:after="0" w:line="172"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Union and other foreign provisions.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security requirements intended to prevent the unauthorized sale of pharmaceutical products and, in some foreign countries, including the European Union countries, mandatory anti-counterfeit features.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The failure to comply with any of these laws or regulatory requirements could subject us to possible legal or regulatory action. Depending on the circumstances, failure to meet applicable regulatory requirements can result in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9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addition, the approval and commercialization of any of our product candidates outside the United States will also likely subject us to foreign equivalents of the healthcare laws mentioned above, among other foreign laws.</w:t>
      </w:r>
    </w:p>
    <w:p>
      <w:pPr>
        <w:spacing w:after="0" w:line="158"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equivalent foreign regulatory agencies may implement additional regulations or restrictions on the development and commercialization of products which act on the microbiome, which may be difficult to predict.</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FDA and equivalent foreign regulatory agencies in other countries have each expressed interest in further regulating biotechnology products and product candidates, such as those that act on the human microbiome.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non-IND human clinical studies or clinical trials of microbiome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83"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for therapeutic indications, we will be subject to ongoing regulatory compliance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 candidates.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is approved for therapeutic indications, we will be subject to ongoing regulatory requirements for manufacturing, labeling, packaging, storage, distribution, advertising, promotion, sampling, recordkeeping, export, import, conduct of post-marketing studies and submission of safety, efficacy and other post-market information, including both federal and state requirements in the United States and requirements of equivalent foreign regulatory agencies. In addition, we will be subject to continued compliance with cGMP and GCP requirements for any clinical trials that we conduct post-approval.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1" w:name="page52"/>
    <w:bookmarkEnd w:id="51"/>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equivalent foreign regulatory agency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applications and previous responses to inspection observations.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FDA or equivalent foreign regulatory agencies have significant post-marketing authority, including, for example, the authority to require labeling changes based on new safety information and to require post-marketing studies or clinical trials to evaluate serious safety risks related to the use of a drug. 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or equivalent foreign regulatory agencies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an equivalent foreign regulatory agency approves our product candidates, we will have to comply with requirements, including submissions of safety and other post-marketing information and reports and registration.</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FDA or equivalent foreign regulatory agencies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the imposition of post-market studies or clinical trials to assess new safety risks, or the imposition of distribution restrictions or other restrictions under a REMS program. Other potential consequences include, among other things:</w:t>
      </w:r>
    </w:p>
    <w:p>
      <w:pPr>
        <w:spacing w:after="0" w:line="187" w:lineRule="exact"/>
        <w:rPr>
          <w:sz w:val="20"/>
          <w:szCs w:val="20"/>
          <w:color w:val="auto"/>
        </w:rPr>
      </w:pPr>
    </w:p>
    <w:p>
      <w:pPr>
        <w:ind w:left="980" w:right="20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products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enforcement letters, or holds on clinical trials;</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equivalent foreign regulatory agencies to approve pending applications or supplements to approved applications filed by us or the suspension or revocation of license approvals;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FDA or equivalent foreign regulatory agencies strictly regulate the marketing, labeling, advertising and promotion of drug products that are placed on the market. Products may be promoted only for the approved indications and in accordance with the provisions of the approved label or other regulatory marketing pathway. The FDA and equivalent foreign regulatory agencies actively enforce the laws and regulations prohibiting the promotion of off-label uses, and a company that is found to have improperly promoted off-label uses may be subject to significant liability. The policies of the FDA or equivalent foreign regulatory agencies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the ability to achieve or sustain profitability.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2" w:name="page53"/>
    <w:bookmarkEnd w:id="52"/>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policies of the FDA or equivalent foreign regulatory agencies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requirements, can also result in significant financial penalties.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conduct clinical trials for our product candidates outside the United States, and the FDA may not accept data from such trials.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and may continue to conduct certain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that we may develop may become subject to unfavorable pricing regulations, third-party reimbursement practices or healthcare reform initiatives, which could make it difficult for us to sell any product candidates or therapies profitably.</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regulations that govern pricing for new medical products vary widely from country to country. As a result, we might obtain regulatory approval for a product in a particular country but then be subject to pricing regulations in that country that delay the commercial launch of the product and negatively impact the revenue we are able to generate from the sale of the product in that country. In addition, our ability to commercialize any approved products successfully will depend in part on the extent to which reimbursement for these products will be available from government health administration authorities, private health insurers and other organizations. Even if we succeed in bringing one or more therapeutic products to market, these products may not be considered cost-effective, and the amount reimbursed for any products may be insufficient to allow us to sell them on a competitive basis. If the price we are able to charge for therapeutic products is inadequate in light of our development and other costs, our future profitability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health care legislative and regulatory reform measures may have a material adverse effect on our business and results of operations.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 care costs. For example, in March 2010, the ACA was passed, which substantially changed the way health care is financed by both governmental and private insurers and significantly impacted the United States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It also established annual fees and taxes on manufacturers of certain branded prescription drugs and creates a new Medicare Part D coverage gap discount program in which manufacturers must now agree to offer 50% point of sale discounts off negotiated prices of applicable brand drugs to eligible beneficiaries during their coverage gap period as a condition for the manufacturer’s outpatient drugs to be covered under Medicare Part 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More recently, on March 11, 2021, President Biden signed the American Rescue Plan Act of 2021 into law, which eliminates the statutory Medicaid drug rebate cap, currently set at 100% of a drug’s average manufacturer price, beginning January 1, 2024. It is unclear how other healthcare reform measures of the Biden administration, if any, will impact our business.</w:t>
      </w:r>
    </w:p>
    <w:p>
      <w:pPr>
        <w:spacing w:after="0" w:line="1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These laws and future state and federal health care reform measures may be adopted in the future, any of which may result in additional reductions in Medicare and other health care funding and otherwise affect the prices we may obtain for any of our product candidates for which we may obtain regulatory approval or the frequency with which any such product candidate is prescribed or used.</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 similar movement is observed in the European Union countries. Criteria for pricing and reimbursement, which vary from country to country, are regularly amended and tightened in order to reduce the draw on the budget allocated to national health insurance systems. Moreover, the system of reference pricing (the price in a country calculated on the basis of prices in other countries with typically lower prices) leads to price reductions in countries that traditionally granted high prices.</w:t>
      </w:r>
    </w:p>
    <w:p>
      <w:pPr>
        <w:spacing w:after="0" w:line="1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and entities, such as the U.S. Department of Defense, caused by funding shortages, government shutdowns, global health concerns or other causes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or approve new products can be affected by a variety of factors, including government budget and funding levels, government shutdowns,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Any material reductions in the ability of FDA to perform these and other functions may delay the development and approval of our product candidates. Recent actions by the Trump administration have caused concern in the industry that this may occur. For example, beginning on February 13, 2025, the Department of Health and Human Services began firing a large number of its probationary employees, a category that includes new federal employees and employees recently promoted or transferred to new positions or agencies. Reports indicate that 5,000 out of 80,000 employees have been terminated. Although we cannot be certain at this early stage, these terminations and others, if they withstand legal challenges, may significantly delay and impede our interactions with FDA. Similar results may stem from the recent confirmed resignations of some senior FDA employees with responsibility for regulation of drugs and biologics, as well as possible future layoffs and resignations. There are also reports that the Trump administration intends to request Congress to reduce FDA funding in upcoming budgets. Such funding cuts may also delay the development and approval of our products.</w:t>
      </w:r>
    </w:p>
    <w:p>
      <w:pPr>
        <w:spacing w:after="0" w:line="19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government funding of other government agencies that fund research and development activities is subject to the political process, which is inherently fluid and unpredictable. For instance, we have funded our research and development from grants, including grants from MTEC, a consortium working in partnership with the U.S. Department of Defense. In connection therewith, in 2019, APT entered into the Research Agreement, with the USAMRAA and the USAMRDC, to advance personalized phage therapy from niche to broad use and have received awards under this agreement. Cost cutting of grants and other disruptions at the Department of Defense, the FDA and other regulatory authorities may also lengthen the time necessary for new drugs and biologics to be developed, reviewed and/or approved by necessary regulatory authorities, which would adversely affect our business, or require us to obtain alternative funding and other resources, if available.</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our Licensed and Co-Owned Intellectual Property</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intellectual property licensed from third parties, and termination or limitation of any of these licenses could result in the loss of significant rights and materially harm our business.</w:t>
      </w:r>
    </w:p>
    <w:p>
      <w:pPr>
        <w:spacing w:after="0" w:line="15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currently rely on licenses from third-party collaborators for certain aspects of our technology and for certain of our existing programs. In particular, we received exclusive, royalty-bearing licenses to certain patents held by third parties.</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If we fail to comply with our obligations under our license agreements, including payment terms, our licensors may have the right to terminate our license agreements, in which event we may not be able to develop, manufacture, market or sell the products covered by those license agreements. We may also face other penalties under our license agreements if we do not meet our contractual obligations. Such an occurrence could materially adversely affect the value of our products being developed under any such license agreements. Termination of one or more of our license agreements, or reduction or elimination of our rights under these license agreements, may result in us having to negotiate new or reinstated license agreements, which may not be available to us on equally favorable terms, or at all, which may mean we are unable to commercialize the affected product candidates. In addition, termination of our license agreements could cause significant delays in our product and commercialization efforts that could prevent us from commercializing our product candidates, including our phage-based therapeutic product candidates, without first expanding our internal capabilities or entering into other agreements with third parties. Any alternative collaboration or license could also be on less favorable terms to us.</w:t>
      </w:r>
    </w:p>
    <w:p>
      <w:pPr>
        <w:spacing w:after="0" w:line="18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future, we may rely upon additional licenses to certain patent rights and proprietary technology from third parties that are important or necessary to the development of our product candidates and proprietary product platform. Patent rights that we in-license in the future may be subject to a reservation of rights by one or more third parties. As a result, any such third party may have certain rights to such intellectual property.</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may not have the right to control the preparation, filing, prosecution and maintenance, and we may not have the right to control the enforcement and defense, of patents and patent applications covering the technology that we license from third parties. We cannot be certain that our in-licensed patent applications (and any patents issuing therefrom) that are controlled by our licensors will be prepared, filed, prosecuted, maintained, enforced and defended in a manner consistent with the best interests of our business. If our licensors fail to prosecute, maintain, enforce and defend such patents rights, or lose rights to those patent applications (or any patents issuing therefrom), the rights we have licensed may be reduced or eliminated, our right to develop and commercialize any of our product candidates and proprietary product platform technology that are subject of such licensed rights could be adversely affected, and we may not be able to prevent competitors from making, using and selling competing products. Moreover, we cannot be certain that such activities by our potential future licensors will be conducted in compliance with applicable laws and regulations or will result in valid and enforceable patents or other intellectual property rights. In addition, even where we may have the right to control the prosecution of patents and patent applications that we may license to and from third parties, we may still be adversely affected or prejudiced by actions or inactions of our potential future licensees, licensors and their counsel that took place prior to the date of assumption of control over patent prosecution.</w:t>
      </w:r>
    </w:p>
    <w:p>
      <w:pPr>
        <w:spacing w:after="0" w:line="1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patent position of biopharmaceutical companies, including ours and our licensors’, is generally uncertain and involves complex legal and factual considerations and, therefore, validity and enforceability cannot be predicted with certainty. Our licensed and co-owned intellectual property may be challenged, deemed unenforceable, invalidated or circumvented. We and our licensors will be able to protect our intellectual property rights from unauthorized use by third parties only to the extent that these rights (and the products and services they cover) are protected by valid and enforceable patents, copyrights or trademarks, or are effectively maintained as trade secrets.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ind w:firstLine="648"/>
        <w:spacing w:after="0" w:line="253" w:lineRule="auto"/>
        <w:rPr>
          <w:sz w:val="20"/>
          <w:szCs w:val="20"/>
          <w:color w:val="auto"/>
        </w:rPr>
      </w:pPr>
      <w:r>
        <w:rPr>
          <w:rFonts w:ascii="Times New Roman" w:cs="Times New Roman" w:eastAsia="Times New Roman" w:hAnsi="Times New Roman"/>
          <w:sz w:val="18"/>
          <w:szCs w:val="18"/>
          <w:color w:val="auto"/>
        </w:rPr>
        <w:t>Any patents obtained by our licensors or us, may be challenged by re-examination or otherwise invalidated or eventually found unenforceable. Both the patent application process and the process of managing patent disputes can be time consuming and expensive. If we or one of our licensors were to initiate legal proceedings against a third party to enforce a patent relating to one of our products, the defendant in such litigation could counterclaim that the asserted patents are invalid and/or unenforceable. In patent litigation in the U.S., defendant counterclaims alleging invalidity or unenforceability are common, as are validity challenges by the defendant against the subject patent or related patents before the USPTO. Grounds for a validity challenge could be an alleged failure to meet any of several statutory patentability requirements, including lack of novelty, obviousness, non-enablement, failure to meet the written description requirement, indefiniteness, and/or failure to claim patentable subject matter. Grounds for an unenforceability assertion could be an allegation that someone connected to prosecution of the patent/s at issue intentionally withheld material information from the USPTO or made a misleading statement during prosecution. Additional grounds for an unenforceability assertion include an allegation of misuse or anticompetitive use of patent rights, and an allegation of incorrect inventorship with deceptive intent. Third parties may also raise similar claims before the USPTO, even outside the context of litigation. The outcome of any assertion of invalidity and/or unenforceability is unpredictable. If a defendant or third party were to prevail on a legal assertion of invalidity and/or unenforceability, we and our licensors would lose at least part, and perhaps all, of the claims of the challenged patent/s. Such a loss of patent protection could have a material adverse impact on our business.</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5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protection sufficient to prevent others from marketing our product candidates, as well as to defend and enforce these patents against infringement and to operate without infringing the proprietary rights of others. Protection of our product candidates from unauthorized use by third parties will depend on having valid and enforceable patents that cover our product candidates or their manufacture or use or on having effective trade secret protection. If our patent applications do not result in issued patents or if our patents are found to be invalid, we will lose the ability to exclude others from making, using or selling the inventions claimed therein. We have a limited number of patents and pending patent applications.</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patent positions of biotechnology companies can be uncertain and involve complex legal and factual questions. This is due to inconsistent application of policies and changes in policy relating to the examination and enforcement of biotechnology patents to date on a global scale. The laws of some countries may not protect intellectual property rights to the same extent as the laws of countries having well-established patent systems, and those countries may lack adequate rules and procedures for defending our intellectual property rights. Also, changes in either patent laws or in the interpretations of patent laws may diminish the value of our intellectual property. We are not able to guarantee that all of our patent applications will result in the issuance of patents, and we cannot predict the breadth of claims that may be allowed in our patent applications or in the patent applications we may license from others.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Leahy-Smith America Invents Act provides for proceedings involving post-issuance patent review procedures, such as inter partes review, or IPR, and post-grant review, that allow third parties to challenge the validity of an issued patent in front of the USPTO Patent Trial and Appeal Board. Each proceeding has different eligibility criteria and different patentability challenges that can be raised. IPRs permit any person (except a party who has been litigating the patent for more than a year) to challenge the validity of the patent on the grounds that it was anticipated or made obvious by prior art. Patents covering pharmaceutical products have been subject to attack in IPRs from generic drug companies and from hedge funds. If it is within nine months of the issuance of the challenged patent, a third party can petition the USPTO for post-grant review, which can be based on any invalidity grounds and is not limited to prior art patents or printed publications.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post-issuance proceedings, USPTO rules and regulations generally tend to favor patent challengers over patent owners. For example, unlike in district court litigation, claims challenged in post-issuance proceedings are given their broadest reasonable meaning, which increases the chance a claim might be invalidated by prior art or lack support in the patent specification. As another example, unlike in district court litigation, there is no presumption of validity for an issued patent, and thus a challenger’s burden to prove invalidity is by a preponderance of the evidence, as opposed to the heightened clear and convincing evidence standard. As a result of these rules and others, statistics released by the USPTO show a high percentage of claims being invalidated in post-issuance proceedings. Moreover, with few exceptions, there is no standing requirement to petition the USPTO for inter partes review or post-grant review. In other words, companies that have not been charged with infringement or that lack commercial interest in the patented subject matter can still petition the USPTO for review of an issued patent. Thus, even where we have issued patents, our rights under those patents may be challenged and ultimately not provide us with sufficient protection against competitive products or processes.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the first to file patent applications for our inventions;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product candidates to any of our product candidates that fall outside the scope of our patents;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may not result in issued patents;</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not provide a basis for commercially viable products or may not provide us with any competitive advantages or may be challenged by third parties;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design around our patent claims to produce competitive products that fall outside the scope of our patents;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patentable proprietary technology related to our product candidates; and</w:t>
      </w:r>
    </w:p>
    <w:p>
      <w:pPr>
        <w:spacing w:after="0" w:line="225"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diligence of our appointed agents in national jurisdictions, acting for and on our behalf, which control the prosecution of pending domestic and foreign patent applications and maintain granted domestic and foreign patents.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 issued patent does not guarantee us the right to practice the patented technology or commercialize the patented product. Third parties may have blocking patents that could be used to prevent us from commercializing our patented products and practicing our patented technology. Our issued patents and those that may be issued in the future may be challenged, invalidated or circumvented, which could limit our ability to prevent competitors from marketing the same or related product candidates or could limit the length of the term of patent protection of our product candidates. Moreover, because of the extensive time required for development, testing and regulatory review of a potential product, it is possible that, before any of our product candidates can be commercialized, any related patent may expire or remain in force for only a short period following commercialization, thereby reducing any advantage of the patent. Patent term extensions may not be available for these patents.</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and proprietary product platform may be subject, in part, to the terms and conditions of current and future licenses granted to us by others.</w:t>
      </w:r>
    </w:p>
    <w:p>
      <w:pPr>
        <w:spacing w:after="0" w:line="15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Some of our licensed rights could provide us with freedom to operate for aspects of our products and services. We may need to obtain additional licenses from others to advance our research, development and commercialization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Disputes may arise between us and our licensors regarding intellectual property subject to a license agreement, including:</w:t>
      </w:r>
    </w:p>
    <w:p>
      <w:pPr>
        <w:spacing w:after="0" w:line="225"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services, technology and processes infringe on the intellectual property of the licensor that is not subject to the license agreement;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collaborators;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ind w:right="20" w:firstLine="632"/>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could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conditions, results of operations and prospects.</w:t>
      </w:r>
    </w:p>
    <w:p>
      <w:pPr>
        <w:spacing w:after="0" w:line="189" w:lineRule="exact"/>
        <w:rPr>
          <w:sz w:val="20"/>
          <w:szCs w:val="20"/>
          <w:color w:val="auto"/>
        </w:rPr>
      </w:pPr>
    </w:p>
    <w:p>
      <w:pPr>
        <w:ind w:right="20" w:firstLine="632"/>
        <w:spacing w:after="0" w:line="261"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We may also be enjoined from selling our products or services, which could adversely affect our ability to offer products or services, our ability to continue operations, and our financial condition.</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the rights of third parties, we could be prevented from selling products, forced to pay damages and/or royalties, and forced to defend against litigation.</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do not believe that the products we are currently developing infringe upon the rights of any third parties or are infringed upon by third parties. However, there can be no assurance that our technology will not be found in the future to infringe upon the rights of others or be infringed upon by others. Moreover, patent applications are in some cases maintained in secrecy until patents are issued. The publication of discoveries in the scientific or patent literature frequently occurs much later than the date on which the underlying discoveries were made and patent applications were filed. Because patents can take many years to issue, there may be currently pending applications of which we are unaware that may later result in issued patents that our products or product candidates infringe. For example, pending patent applications may exist that provide support or can be amended to provide support for a claim that results in an issued patent that is infringed by one or more of our products. In such a case, others may assert infringement claims against us, and should we be found to infringe these patents or impermissibly use their intellectual property, we might be forced to pay damages, potentially including treble damages, if we are found to have willfully infringed on such third parties’ patent rights.</w:t>
      </w:r>
    </w:p>
    <w:p>
      <w:pPr>
        <w:spacing w:after="0" w:line="188"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In addition to any damages we might have to pay, we may also be required to obtain licenses from the holders of this intellectual property, enter into royalty agreements, or redesign our products so as not to use this intellectual property. Each of these penalties may prove to be uneconomical or otherwise impossible. We may fail to obtain any such licenses or intellectual property rights on commercially reasonable terms. Even if we are able to obtain a license, it may be non-exclusive, thereby giving our competitors access to the same licensed technologies. In that event, we may be required to spend significant time and resources to develop or license replacement technologies. If we are unable to do so, we may be unable to develop or commercialize the affected products, which could materially harm our business. Conversely, we may not be able to pursue claims against third parties that infringe on our licensed or co-owned technology. Thus, our licensed and co-owned technology may not provide adequate protection against competitors.</w:t>
      </w:r>
    </w:p>
    <w:p>
      <w:pPr>
        <w:spacing w:after="0" w:line="17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Moreover, the cost to us of any litigation or other proceeding relating to our licensed and/or co-owned intellectual property rights, even if resolved in our favor, could be substantial. Any such litigation would divert our management efforts, and we may not have sufficient resources to bring any such action to a successful conclusion. Uncertainties resulting from the initiation and continuation of any litigation could limit our ability to continue operations.</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Additionally, because our pipeline may involve additional development candidates that could require the use of proprietary rights held by third parties, the growth of our business could depend in part on our ability to acquire, in-license or use these proprietary rights. In addition, our development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 third-party intellectual property rights, our business, financial condition and prospects for growth could suffer.</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through acquisitions, in-licenses or otherwise, necessary rights to our product candidates, proprietary product platform technologies or other technologies.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currently have rights to certain intellectual property, through licenses from third parties, to develop our product candidates and proprietary product platform technologies. Some healthcare companies and academic institutions are competing with us in the field of phage-based therapies and may have patents and/or have filed and are likely filing patent applications potentially relevant to our business. In order to avoid infringing these third-party patents, we may find it necessary or prudent to obtain licenses to such patents from such third-party intellectual property holders. We may also require licenses from third parties for certain technologies that we may be evaluating for use with our current or future product candidates. However, we may be unable to secure such licenses or otherwise acquire or in-license any compositions, methods of use, processes or other intellectual property rights from third parties that we identify as necessary for our current or future product candidates and our proprietary product platform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w:t>
      </w:r>
    </w:p>
    <w:p>
      <w:pPr>
        <w:spacing w:after="0" w:line="19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try to obtain rights to required third-party intellectual property rights and are ultimately unsuccessful,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or continue to utilize our existing proprietary product platform technology, which could significantly harm our business, financial condition, results of operations and prospects.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proprietary product platform to identify phage-based therapies. Our competitive position could be materially harmed if our competitors develop a similar platform and develop rival product candidates.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rely on know-how, inventions and other proprietary information to strengthen our competitive position. We consider know-how to be our primary intellectual property with respect to our proprietary product platform. Our clinical trials allow us to collect clinical data, which we use as a feedback loop to make improvements to our proprietary product platform. In particular, we anticipate that, with respect to this proprietary product platform, this data may over time be disseminated within the industry through independent development, the publication of journal articles describing the method and the movement of skilled personnel.</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cannot rule out that our competitors may have or obtain the knowledge necessary to analyze and characterize similar data to our known data for the purpose of identifying and developing products that could compete with any of our product candidates. Our competitors may also have significantly greater financial, product development, technical and human resources access to date. Further, our competitors may have significantly greater experience in using translational science methods to identify and develop product candidates.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prohibit our competitors from using technology or methods that are the same as or similar to our proprietary product platform to develop their own product candidates. If our competitors develop associated therapies, our ability to develop and market a promising product or product candidate may diminish substantially, which could have a material adverse effect on our business, financial condition, prospects and results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trade secrets and other forms of non-patent intellectual property protection. If we are unable to protect our trade secrets, other companies may be able to compete more effectively against us.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rely on trade secrets to protect certain aspects of our technology, including our proprietary processes for manufacturing and purifying bacteriophage. Trade secrets are difficult to protect, especially in the pharmaceutical industry, where much of the information about a product must be made public during the regulatory approval process.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our trade secret information is expensive and time-consuming, and the outcome is unpredictable. In addition, courts outside the United States may be less willing to or may not protect trade secrets. Moreover, our competitors may independently develop equivalent knowledge, methods and know-how.</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or if we are forced to engage in an interference proceeding, it will be costly and time-consuming, and an unfavorable outcome in that litigation or interference would have a material adverse effect on our business.</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ability to commercialize our product candidates depends on our ability to develop, manufacture, market and sell our product candidates without infringing the proprietary rights of third parties. Numerous U.S. and foreign patents and patent applications, which are owned by third parties, exist in the general field of anti-infective products or in fields that otherwise may relate to our product candidates. If we are shown to infringe, we could be enjoined from the use or sale of the claimed invention if we are unable to prove that the patent is invalid. In addition, because patent applications can take many years to issue, there may be currently pending patent applications, unknown to us, that may later result in issued patents that our product candidates may infringe or that may trigger an interference proceeding regarding one of our owned or licensed patents or applications. There could also be existing patents of which we are not aware that our product candidates may inadvertently infringe or that may become involved in an interference proceeding.</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existence of a large number of patents and frequent litigation based on allegations of patent infringement. For so long as our product candidates are in clinical trials, we believe our clinical activities fall within the scope of the exemptions provided by 35 U.S.C. Section 271(e) in the United States, which exempts from patent infringement liability activities reasonably related to the development and submission of information to the FDA. As our clinical investigational drug product candidates progress toward commercialization, the possibility of a patent infringement claim against us increases. While we attempt to ensure that our active clinical investigational drugs and the methods we employ to manufacture them, as well as the methods for their use we intend to promote, do not infringe other parties’ patents and other proprietary rights, we cannot be certain they do not, and competitors or other parties may assert that we infringe their proprietary rights in any event.</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may be exposed to future litigation based on claims that our product candidates, the methods we employ to manufacture them or the uses for which we intend to promote them infringe the intellectual property rights of others. Our ability to manufacture and commercialize our product candidates may depend on our ability to demonstrate that the manufacturing processes we employ and the use of our product candidates do not infringe third-party patents. If third-party patents were found to cover our product candidates or their use or manufacture, we could be required to pay damages or be enjoined and therefore unable to commercialize our product candidates, unless we obtained a license. A license may not be available to us on acceptable terms, if at all.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continue to rely, on third parties to conduct our clinical trials, and those third parties may not perform satisfactorily, including failing to meet deadlines for the completion of such trials.</w:t>
      </w:r>
    </w:p>
    <w:p>
      <w:pPr>
        <w:spacing w:after="0" w:line="15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We continue to rely on third parties, such as contract research organizations, or CROs, and clinical investigators, to conduct and manage our clinical trials.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with which we must comply. We are also required to register ongoing clinical trials and post the results of completed clinical trials in a government-sponsored database, clinicaltrials.gov, within specified time frames. Failure to do so can result in fines, adverse publicity, and civil and criminal sanctions.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terminated or need to be repeated. If any of the foregoing occurs, we may not be able to obtain, or may be delayed in obtaining, marketing approvals for our product candidates and may not be able to, or may be delayed in our efforts to, successfully commercialize our product candidates.</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relationships are important to our business. If we are unable to maintain our collaborations or enter into new relationships, or if these relationships are not successful, our business could be adversely affected.</w:t>
      </w:r>
    </w:p>
    <w:p>
      <w:pPr>
        <w:spacing w:after="0" w:line="159"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We have limited capabilities for product development and do not yet have any capability for sales, marketing or distribution. Accordingly, we enter into relationships with other companies and academic institutions to provide us with important technology, and we may receive additional technology and funding under these and other collaborations in the future. The relationships we enter into may pose a number of risks, including the following:</w:t>
      </w:r>
    </w:p>
    <w:p>
      <w:pPr>
        <w:spacing w:after="0" w:line="158" w:lineRule="exact"/>
        <w:rPr>
          <w:sz w:val="20"/>
          <w:szCs w:val="20"/>
          <w:color w:val="auto"/>
        </w:rPr>
      </w:pPr>
    </w:p>
    <w:p>
      <w:pPr>
        <w:ind w:left="980" w:right="14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have, and future third-party collaborators may have, significant discretion in determining the efforts and resources that they will apply;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third parties may not perform their obligations as expected;</w:t>
      </w:r>
    </w:p>
    <w:p>
      <w:pPr>
        <w:spacing w:after="0" w:line="225"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third parties may not pursue development and commercialization of any product candidates that achieve regulatory approval or may elect not to continue or renew development or commercialization programs based on clinical trial results, changes in the third parties’ strategic focus or available funding, or external factors, such as a strategic transaction that may divert resources or create competing priorities;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ind w:left="980" w:right="54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third parties could independently develop, or develop with third parties, products that compete directly or indirectly with our products and product candidates if the third parties believe that the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current or future third parties as competitive with their own product candidates or products, which may cause such third parties to cease to devote resources to the commercialization of our product candidates;</w:t>
      </w:r>
    </w:p>
    <w:p>
      <w:pPr>
        <w:spacing w:after="0" w:line="17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third parties may fail to comply with applicable regulatory requirements regarding the development, manufacture, distribution or marketing of a product candidate or product;</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third parties with marketing and distribution rights to one or more of our product candidates that achieve regulatory approval may not commit sufficient resources to the marketing and distribution of such product or products;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current or future third parties,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79"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third parties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third parties may infringe the intellectual property rights of others, which may expose us to litigation and potential liability;</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third parties may infringe regulatory frameworks (such as, but not limited to, cybersecurity and/or privacy frameworks), which may expose us to litigation and potential liability or require or lead us to terminate relationships with them;</w:t>
      </w:r>
    </w:p>
    <w:p>
      <w:pPr>
        <w:spacing w:after="0" w:line="16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current or future third party is involved in a business combination, the collaborator might deemphasize or terminate the development or commercialization of any product candidate licensed to it by us; and</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relationships may be terminated by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our relationships do not result in the successful discovery, development and commercialization of products or if one of our third-party collaborators terminates its agreement with us, we may not receive any future research funding or milestone or royalty payments under the collaboration. If we do not receive the funding we expect under these agreements, our development of our technology and product candidates could be delayed, and we may need additional resources to develop product candidates and our technology. Additionally, if any of our current or future third-party collaborators terminates its agreement with us, we may find it more difficult to attract new collaborators, and our reputation in the business and financial communities could be adversely affected.</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Relationships are complex and time-consuming to negotiate and document. In addition, there have been a significant number of recent business combinations among large pharmaceutical companies that have resulted in a reduced number of potential future collaborators. We face significant competition in seeking appropriate collaborators. Our ability to reach a definitive agreement for a collaboration will depend, among other things, upon our assessment of a collaborator’s resources and expertise, the terms and conditions of a proposed collaboration and a proposed collaborator’s evaluation of a number of factors.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2" w:name="page63"/>
    <w:bookmarkEnd w:id="62"/>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maintaining or establishing collaborations, which could adversely affect our ability to develop and, if required regulatory approvals are obtained, commercialize our product candidates.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future, in order to advance our clinical development, or in connection with any potential out-licensing of product candidates or technologies, we may seek to enter into collaboration agreements. In addition, we may consider entering into collaboration arrangements with medical technology, pharmaceutical or biotechnology companies and/or seek to establish strategic relationships with marketing partners for the development, sale, marketing and/or distribution of our product candidates within or outside of the United States. If we are unable to reach agreements with potential collaborators, then we may fail to meet our business objectives for the affected product candidates or programs. Collaboration arrangements are complex and time-consuming to negotiate, document and implement, and we may not be successful in our efforts, if any, to establish and implement collaborations or other alternative arrangements. The terms of any collaboration or other arrangements that we establish may not be favorable to us, and the success of any such collaboration will depend heavily on the efforts and activities of our collaborators. Moreover, our collaboration agreement could be terminated or not renewed by a third party at a time that is costly or damaging to us. Any failure to engage successful collaborators could cause delays in our product development and/or commercialization efforts, which could harm our financial condition and operational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our clinical supply of product candidates and we intend to rely on third parties to produce and process our products, if approved.</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currently rely on outside vendors to supply raw materials and other important components, such as lab equipment. Additionally, our clinical trial material is being manufactured by an outsourced contract manufacturing operation as our current GMP facility was put on hold. We have not yet caused any product candidates to be manufactured or processed on a commercial scale and may not be able to do so for any of our product candidates. We will make changes as it works to optimize the manufacturing process for our product candidates, and we cannot be sure that even minor changes in the process will result in therapies that are safe and effective.</w:t>
      </w:r>
    </w:p>
    <w:p>
      <w:pPr>
        <w:spacing w:after="0" w:line="18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facilities used to manufacture our product candidates must be approved by the FDA or equivalent foreign regulatory agencies pursuant to inspections that will be conducted after we submit a marketing application to the FDA or equivalent foreign regulatory agency. Additionally, any facilities used for the manufacture of product candidates commercialized for non-therapeutic uses will be subject to inspection by the FDA and foreign regulatory agencies. We do not currently control all aspects of the manufacturing process of, and are currently largely dependent on, our contract manufacturing partners for compliance with regulatory requirements, known as cGMP requirements, for manufacture of our product candidates. If and when our manufacturing facility becomes operational, we will be responsible for compliance with cGMP requirements. If we or our contract manufacturers cannot successfully manufacture in conformance with our specifications and the strict regulatory requirements of the FDA or other regulatory authorities, we and they will not be able to secure and/or maintain regulatory approval for their manufacturing facilities with respect to the manufacture of our product candidates. In addition, we have no control over the ability of our contract manufacturers to maintain adequate quality control, quality assurance and qualified personnel. If the FDA or an equivalent foreign regulatory agency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limited experience manufacturing our product candidates for purposes of clinical trials for therapeutic indications or for non-therapeutic clinical studies or trials. We cannot assure you that we can manufacture our product candidates in compliance with regulations at a cost or in quantities necessary to make them commercially viable.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rely on the availability of specialty raw materials, which may not be available to us on acceptable terms or at all.</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product candidates require certain specialty raw materials, some of which we obtain from small companies with limited resources and experience to support a commercial product. These third-party suppliers may be ill-equipped to support our needs, especially in non-routine circumstances like an FDA inspection or medical crisis, such as widespread contamination. We do not currently have contracts in place with all of the suppliers that we may need at any point in time and, if needed, may not be able to contract with them on acceptable terms or at all. Accordingly, we may experience delays in receiving key raw materials to support clinical or commercial manufacturing.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number of shares of our Common Stock are subject to issuance upon exercise of outstanding warrants and options or conversion of our Convertible Preferred Stock, which upon such exercise or conversion, as applicable, may result in dilution to our security holders.</w:t>
      </w:r>
    </w:p>
    <w:p>
      <w:pPr>
        <w:spacing w:after="0" w:line="15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we had warrants outstanding to purchase an aggregate of up to 1,205,920 shares of Common Stock with a weighted average exercise price of $24.2, or collectively, the Outstanding Warrants, in each case subject to adjustment. Additionally, we had Convertible Preferred Stock that can be converted into 776,383 shares of Common Stock. To the extent such Outstanding Warrants are exercised or Convertible Preferred Stock are converted, additional shares of our Common Stock will be issued, which will result in dilution to the then existing holders of Common Stock and increase the number of shares eligible for resale in the public market. Sales of substantial numbers of such shares in the public market could adversely affect the market price of our Common Stock.</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as of December 31, 2025, we had outstanding vested and unvested options to purchase 150,387 shares of our Common Stock. To the extent any of these options are exercised, additional shares of Common Stock will be issued that will generally be eligible for resale in the public market (subject to limitations under Rule 144 under the Securities Act with respect to shares held by our affiliates), which will result in dilution to our security holders.</w:t>
      </w:r>
    </w:p>
    <w:p>
      <w:pPr>
        <w:spacing w:after="0" w:line="180"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As of February 16, 2026, and following the completion of the transactions contemplated by the 2025 Second SPA (as defined above), we had warrants outstanding to purchase an aggregate of up to 4,604,920 shares of Common Stock with a weighted average exercise price of $10.30 per share, Series X Convertible Preferred Stock that can be converted into 776,383 shares of Common Stock and 3,300 shares of Series Y Convertible Preferred Stock that can be converted into shares of Common Stock at a conversion price of $2.00 per share, subject to customary adjustments.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may issue additional options, warrants and shares of preferred stock in the future. Furthermore, the issuance of additional shares of our Common Stock upon exercise of such securities, as applicable, will result in dilution to the then existing holders of Common Stock and could also have an adverse effect on the market price of our Common Stock.</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we do not anticipate paying any cash dividends on our Common Stock in the foreseeable future.</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However, in connection with the issuance of our Series Y Preferred Stock, as described below, we are required to accrue dividends on such preferred stock at a rate of 15.0% per annum, compounded quarterly, payable in arrears, which dividends may, at the holder’s sole discretion, be paid in cash (subject to legally available funds) or in shares of our common stock through conversion mechanics, and such dividend rate increases to 24.0% per annum upon the occurrence and during the continuance of a Triggering Event (as defined in the certificate of designations). In addition, while any shares of Series Y Convertible Preferred Stock remain outstanding, we are restricted from declaring or paying cash dividends on any class of our capital stock, other than as required under the applicable certificate of designations.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above, we currently intend to retain all available funds and any future earnings to fund the development and growth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capital appreciation, if any, of our Common Stock will be our stockholders’ sole source of gain for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the listing of our securities in the future.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Common Stock trades on NYSE American, which imposes continued listing requirements with respect to listed shares. If we fail to satisfy the continued listing standards, such as, for example, the requirement that our shares not trade “for a substantial period of time at a low price per share” or fail to meet stockholders equity requirements, among other requirements, or if the NYSE American determines that we do not maintain sufficient ongoing business operations, or if we are unable to identify, pursue or successfully implement a viable alternative business strategy, the NYSE American may issue a non-compliance letter or initiate delisting proceedings. If our Common Stock is delisted, we could face significant material adverse consequences, including:</w:t>
      </w:r>
    </w:p>
    <w:p>
      <w:pPr>
        <w:spacing w:after="0" w:line="187"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securities;</w:t>
      </w:r>
    </w:p>
    <w:p>
      <w:pPr>
        <w:spacing w:after="0" w:line="22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shares are a “penny stock,” which will require brokers trading in our securities to adhere to more stringent rules, possibly resulting in a reduced level of trading activity in the secondary trading market for our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the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4" w:name="page65"/>
    <w:bookmarkEnd w:id="64"/>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and other securities may be volatile and fluctuate substantially, which could result in substantial losses for purchasers of our Common Stock.</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stock markets in general and the markets for biotechnology stocks have experienced extreme volatility. The market for the common stock of smaller companies such as ours is characterized by significant price volatility when compared to the shares of larger, more established companies that trade on a national securities exchange and have large public floats, and our share price is more volatile than the shares of such larger, more established companies for the indefinite future.</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factors discussed in this “Risk Factors” section, price declines in our Common Stock (and other securities) could also result from general market and economic conditions and a variety of other factors, including:</w:t>
      </w:r>
    </w:p>
    <w:p>
      <w:pPr>
        <w:spacing w:after="0" w:line="162"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regarding our evaluation and pursuit of strategic alternatives and other business opportunities;</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product candidates, clinical trials or the manufacturing processes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patents or new products by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 involving us 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biotechnology or pharmaceutical industries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strategic alliances or acquisitions we may enter into;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by securities analysts or lack of analyst coverage;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in our operating results from the estimates of analysts;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the perception by investors that we will be unable, to continue to meet all applicable requirements for continued listing of our Common Stock on NYSE American, and the possible delisting of our Common Stock;</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executive officers, directors and principal stockholders or sales of substantial amounts of Common Stock;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of our key scientific or management personnel.</w:t>
      </w:r>
    </w:p>
    <w:p>
      <w:pPr>
        <w:spacing w:after="0" w:line="225"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Additionally, market prices for securities of biotechnology companies historically have been very volatile. The market for these securities has from time to time experienced significant price and volume fluctuations for reasons unrelated to the operating performance of any one company. Furthermore, our business may be adversely impacted by risks, or the public perception of the risks, related to a pandemic or other health crisis, or as a result of the Israel’s war with Hamas and Hezbollah or the Russian invasion of Ukraine and the resulting world sanctions on Russia, Belarus, and related parties. A significant outbreak of contagious diseases could result in a widespread health crisis that could adversely affect the economies and financial markets of many countries, resulting in an economic downturn.</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particular company’s securities, litigation has often been brought against that company. Any such lawsuit could consume resources and management time and attention, which could adversely affect our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5" w:name="page66"/>
    <w:bookmarkEnd w:id="65"/>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“smaller reporting company” we are permitted to provide less disclosure than larger public companies, which may make our Common Stock less attractive to investors.</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currently a “smaller reporting company,” as defined by Rule 12b-2 of the Exchange Act. As a smaller reporting company, we are eligible to take advantage of certain exemptions from various reporting requirements applicable to other public companies. Consequently, it may be more challenging for investors to analyze our results of operations and financial prospects which may result in less investor confidence. Investors may find our Common Stock less attractive as a result of our smaller reporting company status. If some investors find our Common Stock less attractive, there may be a less active trading market for our Common Stock and our stock price may be more volatile.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retain key executives and to attract, retain and motivate qualified personnel.</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continued ability to attract, retain and motivate highly qualified management, clinical and scientific personnel and our ability to develop and maintain important relationships with leading academic institutions, clinicians and scientists is critical to our success. Competition for qualified personnel in the biotechnology field is intense, and we face competition for personnel from other biotechnology and pharmaceutical companies, universities, public and private research institutions and other organizations. We also face competition from other more well-funded and well-established businesses, and we may also be viewed as a riskier choice from a job stability perspective due to our relatively newer status than longer existing biotech and pharmaceutical companies. We may not be able to attract and retain qualified personnel on acceptable terms given the competition for such personnel. If we are unsuccessful in our retention, motivation and recruitment efforts, we may be unable to execute our business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Expectations relating to environmental, social and governance (ESG) programs may impose additional costs and expose us to new risks.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There is an increasing focus from certain investors and other key stakeholders concerning corporate responsibility, specifically related to environmental, social and governance, or ESG, factors. As a result, there is an increased emphasis on corporate responsibility ratings and a number of third parties provide reports on companies in order to measure and assess corporate responsibility performance. In addition, the ESG factors by which companies’ corporate responsibility practices are assessed may change, which could result in greater expectations of us and cause us to undertake costly initiatives to satisfy such new criteria. Alternatively, if we are unable to satisfy such new criteria, investors may conclude that our policies with respect to corporate responsibility are inadequate. We risk damage to our brand and reputation if our corporate responsibility procedures or standards do not meet the standards set by various constituencies. We may be required to make investments in matters related to ESG, which could be significant and adversely impact our results of operations. Furthermore, if our competitors’ corporate responsibility performance is perceived to be greater than ours, potential or current investors may elect to invest with our competitors instead. In addition, if we communicate certain initiatives and goals regarding ESG matters, we could fail, or be perceived to fail, in our achievement of such initiatives or goals, or we could be criticized for the scope of such initiatives or goals. If we fail to satisfy the expectations of investors and other key stakeholders or our initiatives are not executed as planned, our reputation and financial results could be materially and adversely affected.</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deficiencies in our cyber-security.</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clinical trial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 We also maintain compliance programs to address the potential applicability of restrictions against trading while in possession of material, nonpublic information generally and in connection with a cyber-security breach. However, a breakdown in existing controls and procedures around our cyber-security environment may prevent us from detecting, reporting or responding to cyber incidents in a timely manner and could have a material adverse effect on our financial position and value of our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operating as a public company.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costs in connection with our directors and officers insurance, paying for service providers such as legal and accounting as well as other expenses.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NYSE American to implement provisions of the Sarbanes-Oxley Act, the Dodd-Frank Wall Street Reform and Consumer Protection Act, or the Dodd-Frank Act, and the Public Company Accounting Oversight Board impose significant requirements on public companies, including requiring the establishment and maintenance of effective disclosure and financial controls and changes in corporate governance practices. These expenses will likely increase in the future, particularly if we cease to be a “smaller reporting company”, as a result of additional corporate governance and disclosure requirements under the Sarbanes-Oxley Act, the Dodd-Frank Act, and SEC rules and regulations.</w:t>
      </w:r>
    </w:p>
    <w:p>
      <w:pPr>
        <w:spacing w:after="0" w:line="19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rules and regulations applicable to public companies result in us continuing to incur substantial legal and financial compliance costs. These costs increase our net loss or decrease any net income and may require us to reduce costs in other areas of our business.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recognize the critical importance of developing, implementing, and maintaining cybersecurity measures to safeguard our information systems and protect the confidentiality, integrity, and availability of our data. We address cybersecurity risks by implementing security measures on our internal computer systems and ensuring that third parties and business partners implement similar measures. These security measures include firewalls, intrusion prevention and detection systems, antimalware functionality and access controls, which are evaluated by our external IT consultant and improved through vulnerability assessments and cybersecurity threat intelligence.</w:t>
      </w:r>
    </w:p>
    <w:p>
      <w:pPr>
        <w:spacing w:after="0" w:line="18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vice president of operations is responsible for day-to-day assessment and management of risks from cybersecurity threats, including the prevention, mitigation, detection, and remediation of cybersecurity incidents.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is responsible for reviewing our policies with respect to cybersecurity risks and relevant contingent liabilities and risks that may be material to the Company, including risks from third parties and business partners. The Audit Committee receives updates from management with respect to risks from cybersecurity threats. Such updates cover the Company’s information technology security program, including its current status, capabilities, changes during the last quarter, objectives and plans, as well as the evolving cybersecurity threat landscape.</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To date, risks from cybersecurity threats have not materially affected us and we do not currently believe any risks from cybersecurity threats are reasonably likely to affect the Company, including our business strategy, results of operations or financial condition. For further information,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Our business and operations would suffer in the event of computer system failures, cyber-attacks or deficiencies in our cyber-security.</w:t>
      </w:r>
      <w:r>
        <w:rPr>
          <w:rFonts w:ascii="Times New Roman" w:cs="Times New Roman" w:eastAsia="Times New Roman" w:hAnsi="Times New Roman"/>
          <w:sz w:val="18"/>
          <w:szCs w:val="18"/>
          <w:color w:val="auto"/>
        </w:rPr>
        <w:t>” in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1A of this Annual Report. We maintain a cyber liability insurance policy. However, our cyber liability insurance policy may not cover all claims made against us, and defending a suit, regardless of its merit, could be costly and divert management’s attention from our business and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currently a virtual company and do not currently lease or own any physical space. We maintain a mailing address at 850 New Burton Road, Suite 201, Dover, DE 19904.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November 2025, our lease for our corporate headquarters in Ness Ziona, Israel, was terminated.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lease agreement for our office and laboratory facility in Gaithersburg, Maryland, was amended and terminated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be subject to legal proceedings, investigations and claims incidental to the conduct of our business from time to time. We are not currently a party to any material litigation or other material legal proceedings brought against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shares of Common Stock are traded on NYSE American under the symbol PHGE.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February 16, 2026, there were 1,593,703 issued and outstanding shares of our Common Stock held by 72 stockholders of record. The number of record holders was determined from the records of our transfer agent and does not include beneficial owners of shares of Common Stock whose shares are held in the names of various security brokers, dealers, and registered clearing agencies.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However, in connection with the issuance of our Series Y Preferred Stock, as described below, we are required to accrue dividends on such preferred stock at a rate of 15.0% per annum, compounded quarterly, payable in arrears, which dividends may, at the holder’s sole discretion, be paid in cash (subject to legally available funds) or in shares of our common stock through conversion mechanics, and such dividend rate increases to 24.0% per annum upon the occurrence and during the continuance of a Triggering Event (as defined in the applicable certificate of designations). In addition, while any shares of Series Y Convertible Preferred Stock remain outstanding, we are restricted from declaring or paying cash dividends on any class of our capital stock, other than as required under the applicable certificate of designations.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payment of cash dividends in the future will be dependent upon our revenues and earnings, if any, capital requirements and general financial condition. Subject to our undertakings towards the holders of the Series Y Preferred Shares, the payment of any cash dividends will be within the discretion of our Board of Directors, or the Board. at such time. Further if we incur indebtedness, our ability to declare dividends may be further limited by restrictive covenants we may agree to in connection therewith.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the notes thereto contained elsewhere in this Annual Report. Certain information contained in the discussion and analysis set forth below includes forward-looking statements that involve risks and uncertainties. Our actual results may differ materially from those discussed in any forward-looking statement because of various factors, including those described in the sections titled “Cautionary Statement Regarding Forward-Looking Statements” and “Risk Factors” in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We are a clinical stage product discovery company developing products using both natural and engineered phage technologies designed to target and kill specific harmful bacteria associated with chronic diseases, such as DFI. Bacteriophage or phage are bacterial, species-specific, strain-limited viruses that infect, amplify and kill the target bacteria and are considered inert to mammalian cells. By utilizing proprietary combinations of naturally occurring phage and by creating novel phage using synthetic biology, we develop phage-based therapies intended to address large-market diseases.</w:t>
      </w:r>
    </w:p>
    <w:p>
      <w:pPr>
        <w:spacing w:after="0" w:line="16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Since BiomX Ltd.’s inception in 2015, we have devoted substantially all our resources to organizing and staffing our company, raising capital, acquiring rights to or discovering product candidates, developing our technology platforms, securing related intellectual property rights, and conducting discovery, research and development and clinical activities for our product candidates. We do not have any products approved for sale, and we have not generated any revenue from product sales. If we continue to advance our product candidates, we expect our expenses to remain significant. To date, we have funded our operations with proceeds from sales of our Common Stock, preferred shares and warrants, governmental grants, collaboration agreements and debt. As of December 31, 2025, we received gross proceeds of approximately $217.3 million from sales of our securities. In addition, as of December 31, 2025, we received $14.7 million from our collaboration agreements and grants from the IIA and MTEC.</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incurred significant operating losses. Our ability to generate revenue from product sales sufficient to achieve profitability will depend on the successful development of, the receipt of regulatory approval for, and eventual commercialization of one or more of our product candidates. Our net losses were approximately $36.2 million and $17.7 million for the years ended December 31, 2025 and 2024, respectively. As of December 31, 2025, we had an accumulated deficit of $216.9 million.</w:t>
      </w:r>
    </w:p>
    <w:p>
      <w:pPr>
        <w:spacing w:after="0" w:line="180"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 We may implement cost reduction strategies, which may include amending, delaying, limiting, reducing or terminating one or more of our programs or ongoing or planned clinical trials of our product candidates.</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cash, cash equivalents and restricted cash of $5.0 million. Our financial statements contain an explanatory paragraph regarding substantial doubt about our ability to continue as a going concern, as we believe our cash and cash equivalents on hand will be sufficient to meet our working capital and capital expenditure requirements only through the end of the second quarter of 2026 as discussed further below under “Liquidity and Capital Resources”.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6, 2024 we entered into a merger agreement with APT and certain other parties, as a result of which APT became our wholly-owned subsidiary, effective as of March 15, 2024, or the Acquisition. The Acquisition was structured as a stock-for-stock transaction whereby all outstanding equity interests of APT were exchanged in a merger for an aggregate of 48,237 shares of BiomX Common Stock, 40,470 Redeemable Convertible Preferred Shares, convertible into 213,000 shares of BiomX Common Stock, and warrants, or the Merger Warrants, exercisable for 11,403 shares of BiomX Common Stock. Upon the consummation of the Acquisition, a successor-in-interest of APT became a wholly-owned subsidiary of BiomX. The Merger Warrants are exercisable at any time after July 9, 2024 at an exercise price of $950.00 per share and will expire on January 28, 2027.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70" w:name="page71"/>
    <w:bookmarkEnd w:id="70"/>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August 26, 2024, we effected a 1-for-10 reverse stock split, and on November 25, 2025, we effected a 1-for-19 reverse stock split. Unless otherwise indicated, all share and per share amounts in this Annual Report have been retroactively adjusted to reflect these reverse stock splits, including proportional adjustments to equity awards, warrants and Redeemable Convertible Preferred Shares, and to the number of shares issued and issuable under the Company’s stock incentive plans and certain existing agreements.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December 2025, we discontinued the development of BX004 following an internal analysis and feedback from the DMC, which recommended consideration of alternative dosing regimens or treatment strategies in response to adverse events experienced by certain participants; however, pursuing such alternatives was beyond the Company’s available resource. Additionally, we implemented cost-cutting measures including a significant reduction in workforce while reviewing other strategic alternatives.</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December 2025, following the discontinuation of development of BX004, our Israeli subsidiary, BiomX Ltd., commenced insolvency proceedings in Israel. Prior to the commencement of these insolvency proceedings, BiomX Ltd. served as the core operational subsidiary of the Company, employing a significant portion of our workforce. As a result of BiomX Ltd.’s insolvency, our business has been materially impacted, and without additional resources, we have limited ongoing operations and limited ability to advance our programs as previously planned. Accordingly, we are actively evaluating and pursuing strategic alternatives and other business opportunities to exploit the expertise of our management staff, based on time, available resources and market conditions.</w:t>
      </w:r>
    </w:p>
    <w:p>
      <w:pPr>
        <w:spacing w:after="0" w:line="187"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On December 26, 2025, we entered into the 2025 Second SPA with the Investor Pursuant to the 2025 Second SPA, we agreed to issue and sell, in a private placement transaction, an aggregate of 3,300 shares of our newly created Series Y Convertible Preferred Stock, as defined below, with an aggregate stated value of $3.3 million, and warrants to purchase up to 3,300,000 shares of the Company’s common stock, for aggregate gross proceeds of $3.0 million. The Series Y Convertible Preferred Stock has a stated value of $1,000 and is convertible into Common Stock at an initial conversion price of $2.00 per share (i.e., 1,650,000 shares of Common Stock), subject to adjustments. Accordingly, subject to receipt of approval of the stockholders of the Company, the Investor is expected to beneficially own the majority of the shares of common stock of the Company and will have control over the Company. Therefore, if the stockholders approval is obtained, the Investor is expected to cause the Company to change its business, strategy and objectives.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Consolidated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in the near future. If development efforts for our product candidates are successful and result in any necessary regulatory approvals or otherwise lead to any commercialized products or additional license agreements with third parties, we may generate revenue in the future from product sales or payments from collaboration or license agreements with third parties.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 We expense research and development costs as incurred, offset by the IIA and MTEC grants and, to a lesser degree, income from research and development collaboration agreements. These expenses include:</w:t>
      </w:r>
    </w:p>
    <w:p>
      <w:pPr>
        <w:spacing w:after="0" w:line="176" w:lineRule="exact"/>
        <w:rPr>
          <w:sz w:val="20"/>
          <w:szCs w:val="20"/>
          <w:color w:val="auto"/>
        </w:rPr>
      </w:pPr>
    </w:p>
    <w:p>
      <w:pPr>
        <w:ind w:left="1040" w:hanging="330"/>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operation of our proprietary platform;</w:t>
      </w:r>
    </w:p>
    <w:p>
      <w:pPr>
        <w:spacing w:after="0" w:line="225" w:lineRule="exact"/>
        <w:rPr>
          <w:rFonts w:ascii="Times New Roman" w:cs="Times New Roman" w:eastAsia="Times New Roman" w:hAnsi="Times New Roman"/>
          <w:sz w:val="18"/>
          <w:szCs w:val="18"/>
          <w:color w:val="auto"/>
        </w:rPr>
      </w:pPr>
    </w:p>
    <w:p>
      <w:pPr>
        <w:ind w:left="1040" w:right="280" w:hanging="330"/>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preclinical and clinical development of our product candidates, including under agreements with third parties, such as CROs and contract manufacturing organizations, as well as consultants, subcontractors and key opinion leaders providing scientific development services;</w:t>
      </w:r>
    </w:p>
    <w:p>
      <w:pPr>
        <w:spacing w:after="0" w:line="175" w:lineRule="exact"/>
        <w:rPr>
          <w:rFonts w:ascii="Times New Roman" w:cs="Times New Roman" w:eastAsia="Times New Roman" w:hAnsi="Times New Roman"/>
          <w:sz w:val="18"/>
          <w:szCs w:val="18"/>
          <w:color w:val="auto"/>
        </w:rPr>
      </w:pPr>
    </w:p>
    <w:p>
      <w:pPr>
        <w:ind w:left="1040" w:hanging="330"/>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preclinical and clinical trial materials;</w:t>
      </w:r>
    </w:p>
    <w:p>
      <w:pPr>
        <w:spacing w:after="0" w:line="225" w:lineRule="exact"/>
        <w:rPr>
          <w:rFonts w:ascii="Times New Roman" w:cs="Times New Roman" w:eastAsia="Times New Roman" w:hAnsi="Times New Roman"/>
          <w:sz w:val="18"/>
          <w:szCs w:val="18"/>
          <w:color w:val="auto"/>
        </w:rPr>
      </w:pPr>
    </w:p>
    <w:p>
      <w:pPr>
        <w:ind w:left="1040" w:hanging="330"/>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ind w:left="980" w:right="44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stock-based compensation expenses for employees engaged in research and development functions, as well as external costs, such as fees paid to outside consultants engaged in such activities;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 legal fees relating to patent matters;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expenses.</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recognize external development costs based on an evaluation of the progress to completion of specific tasks using information provided to us by our service providers.</w:t>
      </w:r>
    </w:p>
    <w:p>
      <w:pPr>
        <w:spacing w:after="0" w:line="16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incurred by program:</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8680" w:type="dxa"/>
            <w:vAlign w:val="bottom"/>
          </w:tcPr>
          <w:p>
            <w:pPr>
              <w:spacing w:after="0"/>
              <w:rPr>
                <w:sz w:val="21"/>
                <w:szCs w:val="21"/>
                <w:color w:val="auto"/>
              </w:rPr>
            </w:pPr>
          </w:p>
        </w:tc>
        <w:tc>
          <w:tcPr>
            <w:tcW w:w="25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USD In thousands</w:t>
            </w:r>
          </w:p>
        </w:tc>
        <w:tc>
          <w:tcPr>
            <w:tcW w:w="1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BX004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11,094</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BX211/BX011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related benefits (including stock-based compensation)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5,424</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2,264</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related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2,113</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&amp; other unallocated or R&amp;D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grants from the IIA and MTEC and consideration from collaboration agreements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(1,990)</w:t>
            </w:r>
          </w:p>
        </w:tc>
        <w:tc>
          <w:tcPr>
            <w:tcW w:w="3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(2,588)</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research and development expenses, net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21,292</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24,663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Our research and development expenses reflect, among other things, programs that were discontinued or put on hold as well as new development programs.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related benefits and stock-based compensation expenses for personnel in executive, finance, corporate, business development and administrative functions. General and administrative expenses also include legal fees relating to corporate and securities matters; professional fees for accounting, tax and audit services; insurance costs; travel expenses; and facility-related expenses, including rent, depreciation, as well as operating related costs.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we will continue to incur significant accounting, audit, legal, regulatory, compliance, directors’ and officers’ insurance costs as well as investor and public relations expenses associated with being a public company. We anticipate the additional costs for these services will increase our general and administrative expenses in the future. Additionally, if and when we believe a regulatory approval of a product candidate appears likely, we anticipate an increase in payroll and expenses as a result of our preparation for commercial operations, especially as it relates to the sales and marketing of our product candidate.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Impairment of Goodwill, Intangible Asset and Other long-lived asset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Goodwill and Intangible Asset</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our acquisition of APT, we allocated a portion of the purchase price to goodwill and in-process research and development or, IPR&amp;D intangible asset.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the fourth quarter of 2025, the Company’s stock price declined significantly, in part following the Company’s announcement regarding the discontinuation of the CF Phase 2b clinical trial due to adverse events and the filing of the application to commence insolvency proceedings for BiomX Ltd. The discontinuation of the CF trial raised concerns that extended beyond the CF program itself, as the adverse events observed may have broader implications for the Company’s platform technology and pipeline programs. As a result, the Company performed an impairment assessment of its IPR&amp;D acquired in the APT acquisition. Based on this assessment, we recognized an impairment charge of $11.8 million for the year ended December 31, 2025.</w:t>
      </w:r>
    </w:p>
    <w:p>
      <w:pPr>
        <w:spacing w:after="0" w:line="183"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During the third and fourth quarters of 2024, we experienced a decline in our stock price resulting in market capitalization being less than our stockholders’ equity, which we concluded as an impairment indicator. As a result, we performed a quantitative assessment for goodwill and IPR&amp;D impairment and recognized an impairment charge of $0.8 million and $3.2 million, respectively, for the year ended December 31, 2024.</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long-lived asset impairment</w:t>
      </w:r>
    </w:p>
    <w:p>
      <w:pPr>
        <w:spacing w:after="0" w:line="22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On December 16, 2025, BiomX Ltd. filed an application for the commencement of legal insolvency proceedings. As a result, BiomX Ltd. sold all of its property and equipment subsequent to the balance sheet date. Accordingly, we recorded an impairment of $0.5 million for the year ended December 31, 2025, to reflect the sale proceeds.</w:t>
      </w:r>
    </w:p>
    <w:p>
      <w:pPr>
        <w:spacing w:after="0" w:line="176"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On December 31, 2025, APT signed an amendment to terminate its lease agreement in Gaithersburg, Maryland. In addition, APT intends to dispose of all of its property and equipment. Based on purchase offers received for its equipment, we determined that the expected sale proceeds are negligible and wrote down the full carrying amount of the assets in amount of $1.2 million for the year ended December 31, 2025.</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December 2024, we decided to cease the use of the property in Gaithersburg, Maryland and made it available for sublease. As a result, we performed an impairment assessment of the right-of-use asset and related leasehold improvements and recognized an impairment charge of $4.0 million.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Gain from early lease termination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termination of the lease agreement pursuant to an amendment executed by APT, the Company was required to settle the termination consideration. In accordance with the termination provisions of the agreement, the Company was required to pay the landlord $0.8 million, and the landlord was entitled to apply a lease security deposit in the amount of an additional $0.15 million. As a result of the early termination of the lease, we recognized a gain from early termination in the amount of $2.9 million.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expenses (income)</w:t>
      </w:r>
    </w:p>
    <w:p>
      <w:pPr>
        <w:spacing w:after="0" w:line="227"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Other expenses (income) primarily consist of a capital loss from the sale of fixed assets, a reversal of the contract liability related to the AD program that was paused in 2024, and proceeds from the subleasing of a portion of our office space in Ness Ziona, Israel, which sublease ended in September 2024.</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expenses</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mainly related to interest on the existing loan to APT from the U.S. Small Business Administration and interest incurred under a Loan and Security Agreement with Hercules Capital, Inc., or the Hercules Loan Agreement. On March 19, 2024, we prepaid all of the remaining loan balance under the Hercules Loan Agreement in a total amount of $10.4 million.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from change in fair value of warrants</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Income from change in fair value of warrants reflects the revaluation that resulted from the accounting of the warrants issued under the March 2024 PIPE and the warrants issued under the February 2025 Financing.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expenses, net</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Financial expenses, net consist primarily of interest income on our bank deposits and money market funds and transaction costs incurred in connection with the February 2025 Financing and the March 2024 PIPE.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USD 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expenses,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21,292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24,663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early lease termination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IPR&amp;D impairment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3,237</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long-lived asset impairment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1,653</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4,046</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41,466</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change in fair value of warrants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(26,458)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R&amp;D expenses, net (net of grants received from the IIA and MTEC, and consideration from research collaborations) were $21.3 million for the year ended December 31, 2025, compared to $24.7 million for the year ended December 31, 2024. The decrease of $3.4 million, or 14%, in the year ended December 31, 2025 compared to the prior year, is primarily due to the following:</w:t>
      </w:r>
    </w:p>
    <w:p>
      <w:pPr>
        <w:spacing w:after="0" w:line="176"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$2.7 million in salaries and related expenses due to workforce reduction; and</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$1.8 million in rent expenses primarily due to the accounting treatment of the right-of-use asset impairment recognized in 2024, which resulted in reduced expenses in 2025.</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decrease was partially offset by an increase of $0.8 million associated with the initiation of the Phase 2b clinical trial for our CF product candidate, BX004, as well as by an increase of $0.8 million in depreciation expenses attributable to the accelerated depreciation of leasehold improvements resulting from the remeasurement of lease liability of our office lease agreement in Ness Ziona, Israel and the termination of APT’s lease agreement. In addition, we recorded $1.6 million of MTEC grants and $0.4 million of IIA grants for the year ended December 31, 2025, compared to $2.6 million of MTEC grants for the year ended December 31, 2024.</w:t>
      </w:r>
    </w:p>
    <w:p>
      <w:pPr>
        <w:spacing w:after="0" w:line="18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$9.6 million for the year ended December 31, 2025, compared to $11.8 million for the year ended December 31, 2024. The $2.2 million decrease, or 19%, is primarily driven by Acquisition-related expenses of $0.9 million and $0.4 million of legal fees associated with both the Acquisition and the March 2024 PIPE, as well as a decrease of $0.2 in other professional service fees. Additionally, we had a decrease of $0.5 million in salaries and related expenses due to workforce reduction and a $0.2 million decrease in premium for the Company’s directors’ and officers’ insurance policy.</w:t>
      </w:r>
    </w:p>
    <w:p>
      <w:pPr>
        <w:spacing w:after="0" w:line="1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Gain from early lease termination was $2.9 million, following the derecognition of the related right-of-use asset and lease liability, and the total consideration paid, as a result of APT’s lease termination.</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Goodwill impairment in the 2024 period was $0.8 million, following an impairment of the Company’s goodwill that resulted from the Acquisition. The Company’s market capitalization as of September 30, 2024, was lower in comparison to its stockholders’ equity and triggered an impairment assessment that concluded that the entire goodwill should be impaired.</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IPR&amp;D impairment was $11.8 million for the year ended December 31, 2025, compared to $3.2 million for the year ended December 31, 2024, following our quantitative assessment for IPR&amp;D impairment.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ind w:firstLine="648"/>
        <w:spacing w:after="0" w:line="261" w:lineRule="auto"/>
        <w:rPr>
          <w:sz w:val="20"/>
          <w:szCs w:val="20"/>
          <w:color w:val="auto"/>
        </w:rPr>
      </w:pPr>
      <w:r>
        <w:rPr>
          <w:rFonts w:ascii="Times New Roman" w:cs="Times New Roman" w:eastAsia="Times New Roman" w:hAnsi="Times New Roman"/>
          <w:sz w:val="18"/>
          <w:szCs w:val="18"/>
          <w:color w:val="auto"/>
        </w:rPr>
        <w:t>Other long-lived asset impairment was $1.7 million for the year ended December 31, 2025, compared to $4.0 million for the year ended December 31, 2024. The decrease of $2.3 million, or 58%, reflects impairment charges at BiomX Israel and APT. At BiomX Israel, impairment was recorded in connection with the commencement of insolvency proceedings and the subsequent sale of all property and equipment, based on sale proceeds. At APT, impairment was recorded after determining that expected sale proceeds for its equipment are negligible.</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Other expense was $0.1 million for the year ended December 31, 2025, compared to other income of $2.1 million for the year ended December 31, 2024. The decrease of $2.2 million, or 105%, is primarily due to the reversion of the contract liability associated with the Company’s AD program which has been suspended in 2024.</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Interest expenses were $20,000 for the year ended December 31, 2025, compared to $873,000 for the year ended December 31, 2024. The decrease of $853,000, or 98%, is due to repayment of the loan under the Hercules Loan Agreement in March 2024. Interest in the 2025 period was related to an existing loan to APT from the U.S. Small Business Administration.</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Finance expense, net was $0.7 million for the year ended December 31, 2025, compared to $0.9 million for the year ended December 31, 2024. The decrease of $0.2 million, or 22%, was primarily attributable to lower transaction costs incurred in connection with the February 2025 financing, as compared to the March 2024 PIPE financing, partially offset by lower interest income in the current period.</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Income from change in fair value of warrants was $6.1 million for the year ended December 31, 2025, compared to $26.5 million for the year ended December 31, 2024. The decrease of $20.4 million, or 77%, is primarily attributed to the revaluation resulting from the accounting treatment of the Company’s warrants that are classified as a liability, as well as to the issuance of warrants in the February 2025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have never generated any revenue from sales of our products and have incurred significant operating losses and negative cash flows from our operations. We have funded our operations to date primarily with proceeds from the sale of our Common Stock, preferred shares and warrants, venture debt, IIA and MTEC grants and funds from collaboration agreements and through the business combination between Chardan Healthcare Acquisition Corp., a special purpose acquisition company, and BiomX Ltd. (the “Business Combination”), pursuant to which Chardan Healthcare Acquisition Corp. changed its name to BiomX Inc. Through December 31, 2025, we had received gross cash proceeds of approximately $217.3 million from sales of our Common Stock and preferred shares and $14.7 million from our collaboration agreements and grants from the IIA and MTEC.</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in excess of immediate requirements is invested primarily with a view to liquidity and capital preservation.</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August 16, 2021 we entered into the Hercules Loan Agreement with Hercules, with respect to a venture debt facility. Under the Hercules Loan Agreement, Hercules provided us with access to a term loan with an aggregate principal amount of up to $30 million, available in three tranches, subject to certain terms and conditions. The first tranche of $15 million was advanced to us on the date the Hercules Loan Agreement was executed. On March 19, 2024, we voluntarily prepaid the outstanding amount under the Hercules Loan Agreement and such agreement expired.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7, 2023, we filed a shelf registration statement on Form S-3, which was declared effective by the SEC on January 2, 2024. In addition, on December 7, 2023, we entered into an At the Market Offering Agreement, or the 2023 ATM Agreement, with H.C. Wainwright &amp; Co., LLC, or Wainwright, with Wainwright as manager, pursuant to which we may issue and sell shares of our Common Stock having an aggregate offering price of up to $7.5 million from time to time through Wainwright. We are not obligated to make any sales of Common Stock under the 2023 ATM Agreement. On February 24, 2025, we suspended the ATM Agreement and the related continuous offering by us under an effective registration Statement on Form S-3. On August 13, 2025, we filed a prospectus supplement to amend our prior prospectus dated January 2, 2024, and as previously supplemented on February 24, 2025. The prospectus supplement updated the maximum aggregate amount of securities we may offer and sell under the 2023 ATM Agreement. Under the prospectus supplement, we may issue and sell shares of Common Stock having an aggregate offering price of up to $1.7 million from time to time through Wainwright. During the year ended December 31, 2025, we sold 121,773 shares of Common Stock under the 2023 ATM Agreement, at an average price of $11.13 per share, raising aggregate net proceeds of approximately $1.3 million, after deducting an aggregate commission of $51.</w:t>
      </w:r>
    </w:p>
    <w:p>
      <w:pPr>
        <w:spacing w:after="0" w:line="194"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On March 15, 2024, concurrently with the consummation of the Acquisition, we consummated a private placement, or the March 2024 PIPE, pursuant to an exemption from registration requirements under the Securities Act, with certain investors pursuant to which such investors purchased an aggregate of 216,417 shares of our Series X Convertible Preferred Stock, par value $0.0019 per share, with each Series X Convertible Preferred Stock being convertible into 6 shares of our shares of Common Stock, after giving effect to the Reverse Split, and warrants, or Private Placement Warrants, to purchase up to an aggregate of 569,519 shares of the Company’s Common Stock, for aggregate gross proceeds of approximately $50 million.</w:t>
      </w:r>
    </w:p>
    <w:p>
      <w:pPr>
        <w:spacing w:after="0" w:line="18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On February 25, 2025, we entered into a Securities Purchase Agreement with certain investors, or the February 2025 SPA, pursuant to which we agreed to issue and sell, (i) in a registered direct offering, or the February 2025 Registered Direct Offering: (a) an aggregate of 148,857 shares of our Common Stock, and (b) pre-funded warrants, or the February 2025 Pre-Funded Warrants, to purchase up to an aggregate of 42,381 shares of Common Stock, or the February 2025 Pre-Funded Warrant Shares, and (ii) in a concurrent private placement, or the February 2025 PIPE, (a) unregistered pre-funded warrants, or the February 2025 Private Pre-Funded Warrants, to purchase up to an aggregate of 121,362 shares of Common Stock, or the February 2025 Private Pre-Funded Warrant Shares, and (b) unregistered warrants, or the February 2025 Common Warrants, and together with the February 2025 Private Pre-Funded Warrants, the February 2025 Private Warrants, to purchase up to an aggregate of 312,599 shares of Common Stock, or the February 2025 Common Warrant Shares, and together with the February 2025 Private Pre-Funded Warrant Shares, the February 2025 Private Warrant Shares. Each share of Common Stock (or February 2025 Pre-Funded Warrant in lieu thereof) and each February 2025 Private Pre-Funded Warrant is sold with an accompanying February 2025 Common Warrant. The combined effective purchase price of each share of Common Stock (or February 2025 Pre-Funded Warrant in lieu thereof) and accompanying February 2025 Common Warrant, and of each February 2025 Private Pre-Funded Warrant and accompanying February 2025 Common Warrant, is $17.68. The gross proceeds to the Company from the February 2025 Registered Direct Offering and the February 2025 PIPE were $5.5 million, before deducting placement agent fees and other offering expenses payable by the Company. In addition, on February 25, 2025, we also entered into inducement letter agreements, or the Inducement Letter Agreements, with certain holders, or the Holders, of certain of their existing warrants to purchase an aggregate of 366,087 shares of Common Stock, originally issued to the Holders on March 15, 2024, having an original exercise price of $43.91 per share (after giving effect to the Reverse Split), or the Existing Warrants. The shares of Common Stock issued upon the exercise of the Existing Warrants are registered pursuant to the Effective S-3. Pursuant to the Inducement Letter Agreements, the Holders agreed to exercise for cash the Existing Warrants at a reduced exercise price of $17.68 per share, or the February 2025 Warrant Exercise, in consideration of our agreement to issue new unregistered warrants, or the New Warrants, to purchase up to an aggregate of 366,087 shares of Common Stock at an exercise price of $17.68 per share, or the New Warrant Shares. In connection with the February 2025 Warrant Exercise, we agreed that, in the event that any February 2025 Warrant Exercise would otherwise require the Company to issue a number of shares of Common Stock in excess of the number of shares of Common Stock that the Holder may acquire without exceeding the beneficial ownership limitations, or the Beneficial Ownership Limitation, set forth in the Existing Warrants (or, if applicable and at the Holder’s election, 9.99%) (such excess shares, the Excess Existing Warrant Shares), (i) the Company shall issue to the Holder the maximum number of Existing Warrant Shares that the Holder is entitled to receive without exceeding the Beneficial Ownership Limitation, as directed by the Holder, and (ii) in lieu of issuing any Excess Existing Warrant Shares, (x) the Existing Warrant shall automatically be amended and restated in its entirety as set in the Letter Agreement, or, following such amendment, the Amended and Restated Warrant. The gross proceeds to the Company from the February 2025 Warrant Exercise were $6.5 million prior to deducting placement agent fees and offering expenses. We refer to the February 2025 Warrant Exercise, February 2025 Registered Direct Offering and the February 2025 PIPE, as the February 2025 Financing.</w:t>
      </w:r>
    </w:p>
    <w:p>
      <w:pPr>
        <w:spacing w:after="0" w:line="20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December 26, 2025, we entered into the 2025 Second SPA with the Investor, pursuant to which the Company agreed to issue and sell, in a private placement transaction, an aggregate of 3,300 shares of the Company’s newly created Series Y Convertible Preferred Stock, with an aggregate stated value of $3.3 million, and warrants to purchase up to 3,300,000 shares of the Company’s Common Stock, for aggregate gross proceeds to the Company of $3.0 million, before deducting placement agent fees and other offering expenses. Each share of Series Y Preferred Stock has a stated value of $1,000 and will be convertible into shares of Common Stock at a conversion price of $2.00 per share, subject to customary adjustments. Holders of Series Y Convertible Preferred Stock will be entitled to receive dividends on the stated value at a rate of 15% per annum, compounded quarterly, payable in arrears, which dividends may, at the Investor’s sole election, be paid in cash or shares of Common Stock. The Series Y Convertible Preferred Stock does not have voting rights (except as otherwise required by law or as expressly provided in the certificate of designations), and each share will have a maturity of one year from the closing date. Conversion is subject to beneficial ownership limitations of 19.99% of the Company’s outstanding Common Stock. Pursuant to the 2025 Second SPA, the Company also agreed to issue to the Investor warrants to purchase up to an aggregate number of shares of Common Stock equal to 200% of the number of shares of Common Stock issuable upon conversion of the Series Y Preferred Stock, or the “2025 Second SPA Warrants”, i.e., 3,300,000 shares of Common Stock. The 2025 Second SPA Warrants will be exercisable immediately upon issuance, subject to certain limitations and will have an initial exercise price of $2.00 and will expire five years from the date of issuance.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financial statements contain an explanatory paragraph regarding substantial doubt about our ability to continue as a going concern as we believe that our current funds, including the funds received from the 2025 Second SPA, will be sufficient to meet our working capital and capital expenditure requirements only through the end of the second quarter of 2026. In the future, we will likely require or desire additional funds to support our operating expenses and capital requirements or for other purposes, such as acquisitions, and may seek to raise such additional funds through public or private equity or debt financings or collaborative agreements or from other sources, as we did with the ATM Agreement and the Hercules Loan Agreement. Our ability to secure such additional funds is contingent upon obtaining the stockholder approval required pursuant to the 2025 Second SPA. Failure to obtain such approval would severely constrain our financing options, potentially forcing us to cease our operations, and would increase the substantial doubt about our ability to continue as a going concern.</w:t>
      </w:r>
    </w:p>
    <w:p>
      <w:pPr>
        <w:spacing w:after="0" w:line="192"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We have no other commitments to obtain additional financing and cannot assure you that additional financing will be available at all or, if available, that such financing would be obtainable on terms favorable to us and would not be dilutive. Our future liquidity and cash requirements will depend on numerous factors, including the introduction of new products as well as the ability to continue to maintain controls over our operating expenditures.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USD In thousands</w:t>
            </w: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(26,390)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(36,979)</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13,189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38,374</w:t>
            </w: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operating activities used $26.4 million of net cash, primarily due to a net loss of $36.2 million adjusted by non-cash charges of $9.8 million. Non-cash charges mainly consisted of $6.1 million related to income from change in fair value of the warrants and $2.9 million gain from early lease termination. These were partially offset by non-cash expenses including stock-based compensation of $2.1 million, depreciation of $2.9 million, and impairment charges of $11.8 million related to the IPR&amp;D asset and $1.7 million related to other long-lived assets. Net changes in our operating assets and liabilities consisted primarily of a decrease in net change in operating leases of $0.1 million and in other account payables of $3.4 million, partially offset by a decrease in other current assets of $2.2 million and in trade account payables of $1.2 million.</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$37.0 million of net cash, primarily due to a net loss of $17.7 million adjusted by non-cash charges of 16.3 million and a net change of $3.0 million in our operating assets and liabilities. Non-cash charges mainly consisted of $26.5 million related to income from change in fair value of the Private Placement Warrants, $2.0 million of income from change in contract liability resulting from pausing the Company’s AD program, $1.8 million related to stock-based compensation expenses, $1.8 million of depreciation and impairment charges of goodwill, IPR&amp;D asset and long-lived assets of $0.8 million, $3.2 million and $4.0 million, respectively. Net changes in our operating assets and liabilities consisted primarily of an increase in trade account payables of $3.2 million and an increase in other account payables of $1.0 million, partially offset by a decrease in other current assets of $0.8 million and in net change in operating leases of $0.3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investment activities provided net cash of $0.1 million, mainly consisting of proceeds from the sale of property and equipment.</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investment activities provided net cash of $0.7 million, mainly consisting of cash and restricted cash acquired from the Acquisition.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invested, and plan to continue to invest, our existing cash in short-term investments in accordance with our investment policy. These investments may include money market funds and investment securities consisting of U.S. Treasury notes, and high quality, marketable debt instruments of corporations and government sponsored enterprises. We use foreign exchange contracts (mainly option and forward contracts) to hedge balance sheet items from currency exposure. These foreign exchange contracts are not designated as hedging instruments for accounting purposes. In connection with these foreign exchange contracts, we recognize gains or losses that offset the revaluation of the balance sheet items also recorded under financial expenses, net. As of December 31, 2025, we had no outstanding foreign exchange contracts. As of December 31, 2024, we had outstanding foreign exchange contracts in the amount of approximately $2.4 million with a fair value asset of $19 thousand.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financing activities provided net cash of $13.2 million, mainly consisting of the issuance of Common Stock and warrants under the February 2025 Financing as well as issuance of Common Stock under the ATM.</w:t>
      </w:r>
    </w:p>
    <w:p>
      <w:pPr>
        <w:spacing w:after="0" w:line="162"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During the year ended December 31, 2024, financing activities provided net cash of $38.4 million, mainly consisting of the issuance of Convertible Preferred Shares and the Private Placement Warrants in the March 2024 PIPE in the amount of $20.4 million, net of issuance costs, and $28.7 million, respectively. This was partially offset by the prepayment of the long-term debt in the amount of $10.7 million under the Hercules Loan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contractual obligations and commitments relate primarily to our operating leases and non-cancelable purchase obligations under agreements with various research and development organizations and suppliers in the ordinary course of business. In August 2019, we entered into a lease agreement for office and lab spaces in Gaithersburg, Maryland. This lease agreement was terminated effective December 31, 2025. In September 2020, we entered into a lease agreement for office and laboratory space in Ness Ziona, Israel. In November 2025, the latter lease agreement for office and laboratory space in Ness Ziona, Israel, was terminated.</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and agreements that contain a variety of representations and warranties and provide for general indemnifications. Our exposure under these agreements is unknown because it involves claims that may be made against us in the future but have not yet been made. To date, we have not paid any claims or been required to defend any action related to our indemnification obligations. However, we may record charges in the future as a result of these indemnification obligations.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our certificate of incorporation and bylaws, as well as contractual indemnification agreements, we have potential indemnification obligations to our officers and directors for specified events or occurrences, subject to some limits, while they are serving at our request in such capacities. There have been no claims to date, and we have director and officer insurance that may enable us to recover a portion of any amounts paid for future potential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Grants and Related Royalties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Government of Israel, through the IIA, encourages research and development projects by providing grants. Through December 31, 2025, our Israeli subsidiary, BiomX Ltd., had received an aggregate of $8.9 million in the form of grants from the IIA. However, as further described above, BiomX Ltd. commenced insolvency proceedings in December 2025, and a trustee was appointed in January 2026 to administer these proceedings. As a result, BiomX Inc. no longer maintains operational control over BiomX Ltd. and does not expect to recover any significant value from its investment in BiomX Ltd. Consequently, the Company no longer considers the IIA grants received by BiomX Ltd., nor any related obligations or potential royalties, as relevant to its ongoing financial condition or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In addition to continuing our current business, we are pursuing strategic alternatives. Therefore, we do not have visibility into the levels of expenses we may incur in the future. However, if we continue our operations and develop product candidates to treat DFO and DFI, our expenses will remain substantial and may also increase as we:</w:t>
      </w:r>
    </w:p>
    <w:p>
      <w:pPr>
        <w:spacing w:after="0" w:line="176"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IND-enabling activities and prepare to initiate clinical trials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clinical trials and preclinical studies for product candidates in our pipeline;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or in-license or acquire additional product candidates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 if any;</w:t>
      </w:r>
    </w:p>
    <w:p>
      <w:pPr>
        <w:spacing w:after="0" w:line="22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regulatory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quality control, commercial and scientific personnel; and</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 including adding equipment and physical infrastructure to support our research and development.</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financial statements contain an explanatory paragraph regarding substantial doubt about our ability to continue as a going concern as we believe that our current funds will only be sufficient to meet our working capital and capital expenditure requirements through the end of the second quarter of 2026. We have based these estimates on assumptions that may prove to be wrong, and we could utilize our available capital resources sooner than we expect. If we receive regulatory approval for our product candidates, we expect to incur significant commercialization expenses related to product manufacturing, sales, marketing and distribution, depending on where we choose to commercialize.</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public or private sales of our equity, loans, milestone payments, possibly additional grants from MTEC or other government or non-profit institutions and other outside funding sources. Our ability to raise additional capital in the equity and debt markets is dependent on a number of factors including, but not limited to, market volatility resulting from armed conflicts or other disruptions, and market demand for our securities, which itself is subject to a number of development and business risks and uncertainties, as well as the uncertainty that we would be able to raise such additional capital at a price or on terms that are favorable to the Company. Furthermore, we believe that our ability to raise additional capital and to secure future funding is contingent upon obtaining the stockholder approval required pursuant to the 2025 Second SPA. To the extent that we raise additional capital through the sale of equity or convertible debt securities, our stockholders’ ownership interests may be materially diluted, and the terms of such securities could include liquidation or other preferences that adversely affect their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by ourselves. For more information regarding the risks related to our outlook, see “</w:t>
      </w:r>
      <w:r>
        <w:rPr>
          <w:rFonts w:ascii="Times New Roman" w:cs="Times New Roman" w:eastAsia="Times New Roman" w:hAnsi="Times New Roman"/>
          <w:sz w:val="18"/>
          <w:szCs w:val="18"/>
          <w:i w:val="1"/>
          <w:iCs w:val="1"/>
          <w:color w:val="auto"/>
        </w:rPr>
        <w:t>Risk Factors — Risks Related to Our Business, Technology and Industry.”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Contracts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forward and option contracts to hedge against the risk of overall changes in future cash flow from payments of salaries and related expenses, as well as other expenses denominated in NIS. As of December 31, 2025 we had no outstanding foreign exchange contracts. As of December 31, 2024, we had outstanding foreign exchange contracts in the nominal amount of approximately $2.4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ind w:right="540" w:firstLine="648"/>
        <w:spacing w:after="0" w:line="312"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note 2 to our consolidated financial statements, we believe that the following accounting policies are those most critical to the judgments and estimates used in the preparation of our consolidated financial statements.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92"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and clinical trials;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subcontractors in connection with the manufacturing of materials for preclinical and clinical trials.</w:t>
      </w:r>
    </w:p>
    <w:p>
      <w:pPr>
        <w:spacing w:after="0" w:line="225"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We measure the expense recognized based on our estimates of the services received and efforts expended pursuant to quotes and contracts with multiple CROs and subcontractors that supply, conduct and manage preclinical studies, human 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certain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changes in estimates that increase or decrease amounts recognized in any particular period. To date, there have not been any material adjustments to our prior estimates of accrued research and development expenses.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accounted for the acquisition of APT using the acquisition method of accounting, which required us to estimate the fair values of the assets acquired and liabilities assumed. This included acquired IPR&amp;D, and goodwill. The IPR&amp;D is considered indefinite lived until the completion or abandonment of the associated research and development efforts. Upon successful completion of the project, IPR&amp;D assets are reclassified to developed technology and amortized over their estimated useful lives.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test goodwill and IPR&amp;D for impairment at least on an annual basis, on the last day of the third quarter of the fiscal year and whenever events or changes in circumstances indicate the carrying value of a reporting unit may not be recoverable. We estimate the fair value of IPR&amp;D asset using a market approach, based on the Company’s equity value with the addition of a control premium derived from publicly available data from studies for similar transactions of public companies.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allocate the fair value of purchase consideration to the tangible assets acquired, liabilities assumed and intangible assets acquired based on their estimated fair value. The excess of the fair value of purchase consideration over the fair values of these identifiable assets and liabilities are recorded as goodwill and IPR&amp;D. Such valuations require our management to make significant estimates and assumptions, especially with respect to intangible assets. Significant estimates in valuing certain intangible assets include, but are not limited to, future expected cash flows from intangible assets, their useful lives and discount rates. Our management’s estimates of fair value are based upon assumptions believed to be reasonable, but which are inherently uncertain and unpredictable and, as a result, actual results may differ from estimates. See Note 1C to the consolidated financial statements included in Part II, Item 8 of this Annual Report on Form 10-K for additional information related to business combination.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Warrants fair value revaluation</w:t>
      </w:r>
    </w:p>
    <w:p>
      <w:pPr>
        <w:spacing w:after="0" w:line="22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account for the warrants in accordance with the guidance contained in ASC 815 under which the warrants do not meet the criteria for equity treatment and must be recorded as liabilities. Accordingly, we classify the warrants issued under the 2024 PIPE, the February 2025 SPA, and the 2025 Second SPA as liability at their fair value and adjust the warrants to fair value at each reporting period. This liability is subject to re-measurement at each balance sheet date until exercised, and any change in fair value is recognized in our statement of operations. The warrants are valued using the Black-Scholes model.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statements and the notes thereto begin on page F-1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financial officer, respectively), performed an evaluation of the effectiveness of our disclosure controls and procedures (as defined in Rules 13a-15(e) and 15d-15(e) under the Exchange Act) as of December 31, 2025. Based on the aforementioned evaluation, our management has concluded that our disclosure controls and procedures were effective at a reasonable assurance level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has been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includes policies and procedures that pertain to the maintenance of records that, in reasonable detail, accurately and fairly reflect transactions and dispositions of our assets; provide reasonable assurance that transactions are recorded as necessary to permit preparation of financial statements in accordance with generally accepted accounting principles in the United States of America, and that receipts and expenditures are being made only in accordance with authorization of our management and directors; and provide reasonable assurance regarding prevention or timely detection of unauthorized acquisition, use or disposition of our assets that could have a material effect on our financial statements.</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on December 31, 2025. In making this assessment, management used the criteria set forth by the Committee of Sponsoring Organizations of the Treadway Commission 2013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Based on that assessment under those criteria, management has determined that, as of December 31, 2025,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w:t>
      </w:r>
    </w:p>
    <w:p>
      <w:pPr>
        <w:spacing w:after="0" w:line="18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are exempt from this requirement to provide an attestation report of our independent registered public accounting firm regarding internal control over financial reporting due to our status under the Exchange Act as a non-accelerated filer as of the current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fourth quarter of fiscal year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JURISDICITIONS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17"/>
          <w:szCs w:val="17"/>
          <w:color w:val="auto"/>
        </w:rPr>
        <w:t>We have adopted a Code of Business Conduct and Ethics that applies to all directors, officers and employees. The Code of Business Conduct and Ethics is available on our website at www.biomx.com. If we make any substantive amendments to the Code of Business Conduct and Ethics or grants any waiver from a provision of the Code to any director or executive officer, we will promptly disclose the nature of the amendment or waiver on our website.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2026 Proxy Statement, and such required information is incorporated herein by reference into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and is hereby incorporated by reference into this Annual Report.</w:t>
      </w:r>
    </w:p>
    <w:p>
      <w:pPr>
        <w:spacing w:after="0" w:line="22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two equity incentive plans, the 2015 Plan, and the 2019 Plan. Although no shares of our Common Stock are available for future issuance under the 2015 Plan, the 2015 Plan will continue to govern outstanding awards granted thereunder. As of December 31, 2025, options to purchase 7,768 shares of our Common Stock remained outstanding under the 2015 Plan.</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2019 Plan was adopted by the Board of Directors and approved by our stockholders in connection with the Business Combination. As of December 31, 2025, there were 142,619 shares of our Common Stock available for issuance under the 2019 Plan. The aggregate number of shares of our Common Stock available for issuance pursuant to the 2019 Plan automatically increases on January 1 of each year, for a period of not more than ten years, commencing on January 1, 2020 and ending on (and including) January 1, 2029, in an amount equal to 4% of the total number of shares of Common Stock outstanding on December 31 of the preceding calendar year. Accordingly, on January 1, 2026, 63,748 additional shares of our Common Stock were made available for issuance pursuant to the 2019 Plan.</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3" w:right="419" w:bottom="1440" w:gutter="0" w:footer="0" w:header="0"/>
        </w:sectPr>
      </w:pPr>
    </w:p>
    <w:bookmarkStart w:id="83" w:name="page84"/>
    <w:bookmarkEnd w:id="83"/>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2015 Plan and the 2019 Plan, as of December 31, 2025, please see Part II – Item 8 – Financial Statements and Supplemental Data – Notes to consolidated financial statements – note 12B – Stock-Based Compensation.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options and</w:t>
            </w: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 and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restricted</w:t>
            </w: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restricted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w:t>
            </w:r>
          </w:p>
        </w:tc>
        <w:tc>
          <w:tcPr>
            <w:tcW w:w="2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4.20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7,768</w:t>
            </w:r>
          </w:p>
        </w:tc>
        <w:tc>
          <w:tcPr>
            <w:tcW w:w="15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4.09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2026 Proxy Statement, and such required information is incorporated herein by reference into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and is hereby incorporated by reference into this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and is hereby incorporated by reference into this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filed with this Annual Report: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listed on the Financial Statements’ Table of Contents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 or are incorporated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520" w:type="dxa"/>
            <w:vAlign w:val="bottom"/>
            <w:gridSpan w:val="18"/>
          </w:tcPr>
          <w:p>
            <w:pPr>
              <w:jc w:val="center"/>
              <w:ind w:right="4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18"/>
          </w:tcPr>
          <w:p>
            <w:pPr>
              <w:ind w:left="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0000EE"/>
            </w:tcBorders>
            <w:shd w:val="clear" w:color="auto" w:fill="CCEEFF"/>
          </w:tcPr>
          <w:p>
            <w:pPr>
              <w:spacing w:after="0"/>
              <w:rPr>
                <w:sz w:val="15"/>
                <w:szCs w:val="15"/>
                <w:color w:val="auto"/>
              </w:rPr>
            </w:pPr>
          </w:p>
        </w:tc>
        <w:tc>
          <w:tcPr>
            <w:tcW w:w="1018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Composite Copy of Amended and Restated Certificate of Incorporation of the Company, effective on December 11, 2018, as amended to date</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3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(clean version)</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5"/>
                <w:szCs w:val="15"/>
                <w:color w:val="auto"/>
              </w:rPr>
            </w:pPr>
          </w:p>
        </w:tc>
        <w:tc>
          <w:tcPr>
            <w:tcW w:w="10200" w:type="dxa"/>
            <w:vAlign w:val="bottom"/>
            <w:tcBorders>
              <w:bottom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w w:val="99"/>
              </w:rPr>
              <w:t>Composite Copy of Amended and Restated Certificate of Incorporation of the Company, effective on December 11, 2018, as amended to date</w:t>
            </w:r>
          </w:p>
        </w:tc>
        <w:tc>
          <w:tcPr>
            <w:tcW w:w="2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(marked version)</w:t>
            </w: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006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Amended and Restated Bylaws of the Company, effective as of October 28, 2019, as amended to date (Incorporated by reference to Exhibit</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filed by the Company on April 15, 2024)</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5"/>
                <w:szCs w:val="15"/>
                <w:color w:val="auto"/>
              </w:rPr>
            </w:pPr>
          </w:p>
        </w:tc>
        <w:tc>
          <w:tcPr>
            <w:tcW w:w="1020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of Certificate of Designation of Series X Preferred Stock (Incorporated by reference to Exhibit 3.1 to the Company’s Current Report on</w:t>
              </w:r>
            </w:hyperlink>
          </w:p>
        </w:tc>
        <w:tc>
          <w:tcPr>
            <w:tcW w:w="2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31"/>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8-K filed by the Company on March 6, 2024)</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5"/>
                <w:szCs w:val="15"/>
                <w:color w:val="auto"/>
              </w:rPr>
            </w:pPr>
          </w:p>
        </w:tc>
        <w:tc>
          <w:tcPr>
            <w:tcW w:w="1022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Certificate of Designation of Series Y Convertible Preferred Stock (Incorporated by reference to Exhibit 3.1 to the Company’s</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72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Current Report on Form 8-K filed by the Company on December 29, 2025)</w:t>
              </w:r>
            </w:hyperlink>
          </w:p>
        </w:tc>
        <w:tc>
          <w:tcPr>
            <w:tcW w:w="500" w:type="dxa"/>
            <w:vAlign w:val="bottom"/>
            <w:tcBorders>
              <w:top w:val="single" w:sz="8" w:color="CCEEFF"/>
            </w:tcBorders>
            <w:gridSpan w:val="12"/>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102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registered pursuant to Section 12 of the Securities Exchange Act of 1934, as amended</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5"/>
                <w:szCs w:val="15"/>
                <w:color w:val="auto"/>
              </w:rPr>
            </w:pPr>
          </w:p>
        </w:tc>
        <w:tc>
          <w:tcPr>
            <w:tcW w:w="1022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Specimen Common Stock Certificate (Incorporated by reference to Exhibit 4.2 to the Company’s Registration Statement on Form S-1 filed</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by the Company on December 4, 2018)</w:t>
              </w:r>
            </w:hyperlink>
          </w:p>
        </w:tc>
        <w:tc>
          <w:tcPr>
            <w:tcW w:w="220" w:type="dxa"/>
            <w:vAlign w:val="bottom"/>
            <w:tcBorders>
              <w:top w:val="single" w:sz="8" w:color="CCEEFF"/>
            </w:tcBorders>
            <w:gridSpan w:val="7"/>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10080" w:type="dxa"/>
            <w:vAlign w:val="bottom"/>
            <w:tcBorders>
              <w:bottom w:val="single" w:sz="8" w:color="0000EE"/>
            </w:tcBorders>
            <w:gridSpan w:val="27"/>
          </w:tcPr>
          <w:p>
            <w:pPr>
              <w:spacing w:after="0" w:line="17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Form of Warrant (Incorporated by reference to Exhibit 4.1 to the Company’s Current Report on Form 8-K filed by the Company on July 26,</w:t>
              </w:r>
            </w:hyperlink>
          </w:p>
        </w:tc>
        <w:tc>
          <w:tcPr>
            <w:tcW w:w="140" w:type="dxa"/>
            <w:vAlign w:val="bottom"/>
            <w:gridSpan w:val="4"/>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520" w:type="dxa"/>
            <w:vAlign w:val="bottom"/>
            <w:gridSpan w:val="3"/>
          </w:tcPr>
          <w:p>
            <w:pPr>
              <w:ind w:left="100"/>
              <w:spacing w:after="0" w:line="196" w:lineRule="exact"/>
              <w:rPr>
                <w:rFonts w:ascii="Times New Roman" w:cs="Times New Roman" w:eastAsia="Times New Roman" w:hAnsi="Times New Roman"/>
                <w:sz w:val="18"/>
                <w:szCs w:val="18"/>
                <w:color w:val="0000EE"/>
                <w:w w:val="95"/>
              </w:rPr>
            </w:pPr>
            <w:hyperlink r:id="rId99">
              <w:r>
                <w:rPr>
                  <w:rFonts w:ascii="Times New Roman" w:cs="Times New Roman" w:eastAsia="Times New Roman" w:hAnsi="Times New Roman"/>
                  <w:sz w:val="18"/>
                  <w:szCs w:val="18"/>
                  <w:color w:val="0000EE"/>
                  <w:w w:val="95"/>
                </w:rPr>
                <w:t>2021)</w:t>
              </w:r>
            </w:hyperlink>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of Pre-Funded Warrant (Incorporated by reference to Exhibit 4.1 to the Company’s Current Report on Form 8-K filed by the Company</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on February 27, 2023)</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5"/>
                <w:szCs w:val="15"/>
                <w:color w:val="auto"/>
              </w:rPr>
            </w:pPr>
          </w:p>
        </w:tc>
        <w:tc>
          <w:tcPr>
            <w:tcW w:w="1004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of Merger Warrant (Incorporated by reference to Exhibit 4.1 to the Company’s Current Report on Form 8-K filed by the Company on</w:t>
              </w:r>
            </w:hyperlink>
          </w:p>
        </w:tc>
        <w:tc>
          <w:tcPr>
            <w:tcW w:w="180" w:type="dxa"/>
            <w:vAlign w:val="bottom"/>
            <w:gridSpan w:val="6"/>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31"/>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March 6,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 of Private Placement Warrant (Incorporated by reference to Exhibit 4.2 to the Company’s Current Report on Form 8-K filed by the</w:t>
              </w:r>
            </w:hyperlink>
          </w:p>
        </w:tc>
        <w:tc>
          <w:tcPr>
            <w:tcW w:w="380" w:type="dxa"/>
            <w:vAlign w:val="bottom"/>
            <w:tcBorders>
              <w:bottom w:val="single" w:sz="8" w:color="CCEEFF"/>
            </w:tcBorders>
            <w:gridSpan w:val="10"/>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Company on March 6, 2024)</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5"/>
                <w:szCs w:val="15"/>
                <w:color w:val="auto"/>
              </w:rPr>
            </w:pPr>
          </w:p>
        </w:tc>
        <w:tc>
          <w:tcPr>
            <w:tcW w:w="10220" w:type="dxa"/>
            <w:vAlign w:val="bottom"/>
            <w:gridSpan w:val="31"/>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Placement Agent Warrant (Incorporated by reference to Exhibit 4.3 to the Company’s Current Report on Form 8-K filed by the</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Company on March 6, 2024)</w:t>
              </w:r>
            </w:hyperlink>
          </w:p>
        </w:tc>
        <w:tc>
          <w:tcPr>
            <w:tcW w:w="460" w:type="dxa"/>
            <w:vAlign w:val="bottom"/>
            <w:gridSpan w:val="11"/>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5"/>
                <w:szCs w:val="15"/>
                <w:color w:val="auto"/>
              </w:rPr>
            </w:pPr>
          </w:p>
        </w:tc>
        <w:tc>
          <w:tcPr>
            <w:tcW w:w="1022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Amended and Restated Warrant (Incorporated by reference to Exhibit 4.5 to the Company’s Current Report on Form 8-K filed by the</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EE"/>
            </w:tcBorders>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Company on February 27,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5"/>
                <w:szCs w:val="15"/>
                <w:color w:val="auto"/>
              </w:rPr>
            </w:pPr>
          </w:p>
        </w:tc>
        <w:tc>
          <w:tcPr>
            <w:tcW w:w="10120" w:type="dxa"/>
            <w:vAlign w:val="bottom"/>
            <w:tcBorders>
              <w:bottom w:val="single" w:sz="8" w:color="0000EE"/>
            </w:tcBorders>
            <w:gridSpan w:val="28"/>
          </w:tcPr>
          <w:p>
            <w:pPr>
              <w:spacing w:after="0" w:line="17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Form of Pre-Funded Warrant (Incorporated by reference to Exhibit 4.1 to the Company’s Current Report on Form 8-K filed by the Company</w:t>
              </w:r>
            </w:hyperlink>
          </w:p>
        </w:tc>
        <w:tc>
          <w:tcPr>
            <w:tcW w:w="100" w:type="dxa"/>
            <w:vAlign w:val="bottom"/>
            <w:gridSpan w:val="3"/>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31"/>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on February 27, 2025)</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5"/>
                <w:szCs w:val="15"/>
                <w:color w:val="auto"/>
              </w:rPr>
            </w:pPr>
          </w:p>
        </w:tc>
        <w:tc>
          <w:tcPr>
            <w:tcW w:w="1022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Private Pre-Funded Warrant (Incorporated by reference to Exhibit 4.2 to the Company’s Current Report on Form 8-K filed by the</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Company on February 27, 2025)</w:t>
              </w:r>
            </w:hyperlink>
          </w:p>
        </w:tc>
        <w:tc>
          <w:tcPr>
            <w:tcW w:w="300" w:type="dxa"/>
            <w:vAlign w:val="bottom"/>
            <w:tcBorders>
              <w:top w:val="single" w:sz="8" w:color="CCEEFF"/>
            </w:tcBorders>
            <w:gridSpan w:val="9"/>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5"/>
                <w:szCs w:val="15"/>
                <w:color w:val="auto"/>
              </w:rPr>
            </w:pPr>
          </w:p>
        </w:tc>
        <w:tc>
          <w:tcPr>
            <w:tcW w:w="1018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Form of Common Warrant (Incorporated by reference to Exhibit 4.3 to the Company’s Current Report on Form 8-K filed by the Company on</w:t>
              </w:r>
            </w:hyperlink>
          </w:p>
        </w:tc>
        <w:tc>
          <w:tcPr>
            <w:tcW w:w="40" w:type="dxa"/>
            <w:vAlign w:val="bottom"/>
            <w:gridSpan w:val="2"/>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3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February 27, 2025)</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5"/>
                <w:szCs w:val="15"/>
                <w:color w:val="auto"/>
              </w:rPr>
            </w:pPr>
          </w:p>
        </w:tc>
        <w:tc>
          <w:tcPr>
            <w:tcW w:w="1022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New Warrant (Incorporated by reference to Exhibit 4.4 to the Company’s Current Report on Form 8-K filed by the Company on</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February 27, 2025)</w:t>
              </w:r>
            </w:hyperlink>
          </w:p>
        </w:tc>
        <w:tc>
          <w:tcPr>
            <w:tcW w:w="380" w:type="dxa"/>
            <w:vAlign w:val="bottom"/>
            <w:tcBorders>
              <w:top w:val="single" w:sz="8" w:color="CCEEFF"/>
            </w:tcBorders>
            <w:gridSpan w:val="10"/>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5"/>
                <w:szCs w:val="15"/>
                <w:color w:val="auto"/>
              </w:rPr>
            </w:pPr>
          </w:p>
        </w:tc>
        <w:tc>
          <w:tcPr>
            <w:tcW w:w="946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Form of Warrant (Incorporated by reference to Exhibit 4.1 to the Company’s Current Report on Form 8-K filed by the Company on</w:t>
              </w:r>
            </w:hyperlink>
          </w:p>
        </w:tc>
        <w:tc>
          <w:tcPr>
            <w:tcW w:w="760" w:type="dxa"/>
            <w:vAlign w:val="bottom"/>
            <w:gridSpan w:val="13"/>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3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December 29, 2025)</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5"/>
                <w:szCs w:val="15"/>
                <w:color w:val="auto"/>
              </w:rPr>
            </w:pPr>
          </w:p>
        </w:tc>
        <w:tc>
          <w:tcPr>
            <w:tcW w:w="10220" w:type="dxa"/>
            <w:vAlign w:val="bottom"/>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Placement Agent Warrant (Incorporated by reference to Exhibit 4.2 to the Company’s Current Report on Form 8-K filed by the</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Company on December 29, 2025)</w:t>
              </w:r>
            </w:hyperlink>
          </w:p>
        </w:tc>
        <w:tc>
          <w:tcPr>
            <w:tcW w:w="460" w:type="dxa"/>
            <w:vAlign w:val="bottom"/>
            <w:tcBorders>
              <w:top w:val="single" w:sz="8" w:color="CCEEFF"/>
            </w:tcBorders>
            <w:gridSpan w:val="11"/>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996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Amended and Restated Chardan Healthcare Acquisition Corp. Long-Term Incentive Plan (Incorporated by reference to Exhibit 10.1 to the</w:t>
              </w:r>
            </w:hyperlink>
          </w:p>
        </w:tc>
        <w:tc>
          <w:tcPr>
            <w:tcW w:w="260" w:type="dxa"/>
            <w:vAlign w:val="bottom"/>
            <w:gridSpan w:val="8"/>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31"/>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Company’s Current Report on Form 8-K filed by the Company on July 9, 2024)</w:t>
              </w:r>
            </w:hyperlink>
          </w:p>
        </w:tc>
      </w:tr>
      <w:tr>
        <w:trPr>
          <w:trHeight w:val="67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5400" w:type="dxa"/>
            <w:vAlign w:val="bottom"/>
            <w:tcBorders>
              <w:top w:val="single" w:sz="8" w:color="0000EE"/>
              <w:bottom w:val="single" w:sz="8" w:color="auto"/>
            </w:tcBorders>
            <w:gridSpan w:val="13"/>
          </w:tcPr>
          <w:p>
            <w:pPr>
              <w:jc w:val="right"/>
              <w:ind w:right="630"/>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Borders>
              <w:top w:val="single" w:sz="8" w:color="0000EE"/>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27"/>
            <w:shd w:val="clear" w:color="auto" w:fill="CCEEFF"/>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Registration Rights Agreement dated October 28, 2019 (Incorporated by reference to Exhibit 10.1 to the Company’s Current Report on</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00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8-K filed by the Company on November 1, 2019)</w:t>
              </w:r>
            </w:hyperlink>
          </w:p>
        </w:tc>
        <w:tc>
          <w:tcPr>
            <w:tcW w:w="572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380" w:type="dxa"/>
            <w:vAlign w:val="bottom"/>
            <w:tcBorders>
              <w:top w:val="single" w:sz="8" w:color="CCEEFF"/>
              <w:bottom w:val="single" w:sz="8" w:color="CCEEFF"/>
            </w:tcBorders>
            <w:gridSpan w:val="11"/>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Form of Indemnification Agreement</w:t>
            </w:r>
          </w:p>
        </w:tc>
      </w:tr>
      <w:tr>
        <w:trPr>
          <w:trHeight w:val="20"/>
        </w:trPr>
        <w:tc>
          <w:tcPr>
            <w:tcW w:w="114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2015 Employee Stock Option Plan, as amended (Incorporated by reference to Exhibit 99.1 to the Company’s Registration Statement on</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74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S-8 filed by the Company on January 2, 2020)</w:t>
              </w:r>
            </w:hyperlink>
          </w:p>
        </w:tc>
        <w:tc>
          <w:tcPr>
            <w:tcW w:w="360" w:type="dxa"/>
            <w:vAlign w:val="bottom"/>
            <w:tcBorders>
              <w:top w:val="single" w:sz="8" w:color="CCEEFF"/>
            </w:tcBorders>
            <w:gridSpan w:val="10"/>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Non-Qualified Stock Option Agreement (U.S. Awards to Non-Executives) (Incorporated by reference to Exhibit 10.19 to the</w:t>
              </w:r>
            </w:hyperlink>
          </w:p>
        </w:tc>
      </w:tr>
      <w:tr>
        <w:trPr>
          <w:trHeight w:val="196"/>
        </w:trPr>
        <w:tc>
          <w:tcPr>
            <w:tcW w:w="1140" w:type="dxa"/>
            <w:vAlign w:val="bottom"/>
          </w:tcPr>
          <w:p>
            <w:pPr>
              <w:spacing w:after="0"/>
              <w:rPr>
                <w:sz w:val="17"/>
                <w:szCs w:val="17"/>
                <w:color w:val="auto"/>
              </w:rPr>
            </w:pPr>
          </w:p>
        </w:tc>
        <w:tc>
          <w:tcPr>
            <w:tcW w:w="96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Company’s Annual Report on Form 10-K filed by the Company on March 26, 2020)</w:t>
              </w:r>
            </w:hyperlink>
          </w:p>
        </w:tc>
        <w:tc>
          <w:tcPr>
            <w:tcW w:w="500" w:type="dxa"/>
            <w:vAlign w:val="bottom"/>
            <w:gridSpan w:val="13"/>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982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Form of Non-Qualified Stock Option Agreement (U.S. Awards to Executive Officers) (Incorporated by reference to Exhibit 10.20 to the</w:t>
              </w:r>
            </w:hyperlink>
          </w:p>
        </w:tc>
        <w:tc>
          <w:tcPr>
            <w:tcW w:w="28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Company’s Annual Report on Form 10-K filed by the Company on March 26, 2020)</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986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Form of Option Agreement (Israeli Awards) (Incorporated by reference to Exhibit 10.21 to the Company’s Annual Report on Form 10-K</w:t>
              </w:r>
            </w:hyperlink>
          </w:p>
        </w:tc>
        <w:tc>
          <w:tcPr>
            <w:tcW w:w="240" w:type="dxa"/>
            <w:vAlign w:val="bottom"/>
            <w:gridSpan w:val="6"/>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filed by the Company on March 26, 2020)</w:t>
              </w:r>
            </w:hyperlink>
          </w:p>
        </w:tc>
      </w:tr>
      <w:tr>
        <w:trPr>
          <w:trHeight w:val="21"/>
        </w:trPr>
        <w:tc>
          <w:tcPr>
            <w:tcW w:w="114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982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Restricted Stock Unit Agreement under the Company’s 2019 Omnibus Long-Term Incentive Plan (Incorporated by reference to</w:t>
              </w:r>
            </w:hyperlink>
          </w:p>
        </w:tc>
        <w:tc>
          <w:tcPr>
            <w:tcW w:w="28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Exhibit 10.1 to the Company’s Quarterly Report on Form 10-Q filed by the Company on November 14, 2024)</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98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At the Market Offering Agreement, dated December 7, 2023, between the Company and H.C. Wainwright &amp; Co., LLC (incorporated by</w:t>
              </w:r>
            </w:hyperlink>
          </w:p>
        </w:tc>
        <w:tc>
          <w:tcPr>
            <w:tcW w:w="300" w:type="dxa"/>
            <w:vAlign w:val="bottom"/>
            <w:gridSpan w:val="9"/>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reference to Exhibit 1.2 of the Company’s Registration Statement on Form S-3 filed by the Company on December 7, 2023)</w:t>
              </w:r>
            </w:hyperlink>
          </w:p>
        </w:tc>
      </w:tr>
      <w:tr>
        <w:trPr>
          <w:trHeight w:val="21"/>
        </w:trPr>
        <w:tc>
          <w:tcPr>
            <w:tcW w:w="114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Employment Agreement, dated February 1, 2016, between BiomX Ltd. (formerly MBcure Ltd.) and Jonathan Solomon (Incorporated by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reference to Exhibit 10.1 to the Company’s Amended Annual Report on Form 10-K/A filed by the Company on May 2, 2022)</w:t>
              </w:r>
            </w:hyperlink>
          </w:p>
        </w:tc>
        <w:tc>
          <w:tcPr>
            <w:tcW w:w="260" w:type="dxa"/>
            <w:vAlign w:val="bottom"/>
            <w:tcBorders>
              <w:top w:val="single" w:sz="8" w:color="CCEEFF"/>
            </w:tcBorders>
            <w:gridSpan w:val="7"/>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Employment Agreement, dated August 26, 2019, between BiomX Ltd. and Merav Bassan (Incorporated by reference to Exhibit 10.2 to the</w:t>
              </w:r>
            </w:hyperlink>
          </w:p>
        </w:tc>
      </w:tr>
      <w:tr>
        <w:trPr>
          <w:trHeight w:val="196"/>
        </w:trPr>
        <w:tc>
          <w:tcPr>
            <w:tcW w:w="1140" w:type="dxa"/>
            <w:vAlign w:val="bottom"/>
          </w:tcPr>
          <w:p>
            <w:pPr>
              <w:spacing w:after="0"/>
              <w:rPr>
                <w:sz w:val="17"/>
                <w:szCs w:val="17"/>
                <w:color w:val="auto"/>
              </w:rPr>
            </w:pPr>
          </w:p>
        </w:tc>
        <w:tc>
          <w:tcPr>
            <w:tcW w:w="100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Company’s Amended Annual Report on Form 10-K/A filed by the Company on May 2, 2022)</w:t>
              </w:r>
            </w:hyperlink>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998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Form of Registration Rights Agreement (incorporated by reference to Exhibit 10.2 to the Company’s Current Report on Form 8-K filed by</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the Company on February 22, 2023)</w:t>
              </w:r>
            </w:hyperlink>
          </w:p>
        </w:tc>
        <w:tc>
          <w:tcPr>
            <w:tcW w:w="7440" w:type="dxa"/>
            <w:vAlign w:val="bottom"/>
            <w:tcBorders>
              <w:bottom w:val="single" w:sz="8" w:color="CCEEFF"/>
            </w:tcBorders>
            <w:gridSpan w:val="24"/>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Non-Exclusive License Agreement by and between Adaptive Phage Therapeutics, Inc. and Walter Reed Army Institute of Research, dated</w:t>
              </w:r>
            </w:hyperlink>
          </w:p>
        </w:tc>
      </w:tr>
      <w:tr>
        <w:trPr>
          <w:trHeight w:val="196"/>
        </w:trPr>
        <w:tc>
          <w:tcPr>
            <w:tcW w:w="1140" w:type="dxa"/>
            <w:vAlign w:val="bottom"/>
          </w:tcPr>
          <w:p>
            <w:pPr>
              <w:spacing w:after="0"/>
              <w:rPr>
                <w:sz w:val="17"/>
                <w:szCs w:val="17"/>
                <w:color w:val="auto"/>
              </w:rPr>
            </w:pPr>
          </w:p>
        </w:tc>
        <w:tc>
          <w:tcPr>
            <w:tcW w:w="99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August 24, 2021 (Incorporated by reference to Exhibit 10.24 to the Company’s Annual Report on Form 10-K filed by the Company on</w:t>
              </w:r>
            </w:hyperlink>
          </w:p>
        </w:tc>
        <w:tc>
          <w:tcPr>
            <w:tcW w:w="1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April 4, 2024)</w:t>
              </w:r>
            </w:hyperlink>
          </w:p>
        </w:tc>
        <w:tc>
          <w:tcPr>
            <w:tcW w:w="400" w:type="dxa"/>
            <w:vAlign w:val="bottom"/>
            <w:gridSpan w:val="1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License Modification 1, dated August 31, 2022, to Non-Exclusive License Agreement by and between Adaptive Phage Therapeutics, Inc.</w:t>
              </w:r>
            </w:hyperlink>
          </w:p>
        </w:tc>
      </w:tr>
      <w:tr>
        <w:trPr>
          <w:trHeight w:val="196"/>
        </w:trPr>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9880" w:type="dxa"/>
            <w:vAlign w:val="bottom"/>
            <w:tcBorders>
              <w:top w:val="single" w:sz="8" w:color="0000EE"/>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and Walter Reed Army Institute of Research (Incorporated by reference to Exhibit 10.25 to the Company’s Annual Report on Form 10-K</w:t>
              </w:r>
            </w:hyperlink>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4"/>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filed by the Company on April 4, 2024) </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Registration Rights Agreement, dated as of March 6, 2024, by and among the Company and certain purchasers (Incorporated by</w:t>
              </w:r>
            </w:hyperlink>
          </w:p>
        </w:tc>
      </w:tr>
      <w:tr>
        <w:trPr>
          <w:trHeight w:val="196"/>
        </w:trPr>
        <w:tc>
          <w:tcPr>
            <w:tcW w:w="1140" w:type="dxa"/>
            <w:vAlign w:val="bottom"/>
          </w:tcPr>
          <w:p>
            <w:pPr>
              <w:spacing w:after="0"/>
              <w:rPr>
                <w:sz w:val="17"/>
                <w:szCs w:val="17"/>
                <w:color w:val="auto"/>
              </w:rPr>
            </w:pPr>
          </w:p>
        </w:tc>
        <w:tc>
          <w:tcPr>
            <w:tcW w:w="98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reference to Exhibit 10.2 to the Company’s Current Report on Form 8-K filed by the Company on March 6, 2024)</w:t>
              </w:r>
            </w:hyperlink>
          </w:p>
        </w:tc>
        <w:tc>
          <w:tcPr>
            <w:tcW w:w="240" w:type="dxa"/>
            <w:vAlign w:val="bottom"/>
            <w:gridSpan w:val="6"/>
          </w:tcPr>
          <w:p>
            <w:pPr>
              <w:spacing w:after="0"/>
              <w:rPr>
                <w:sz w:val="17"/>
                <w:szCs w:val="17"/>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6080" w:type="dxa"/>
            <w:vAlign w:val="bottom"/>
            <w:tcBorders>
              <w:top w:val="single" w:sz="8" w:color="0000EE"/>
              <w:bottom w:val="single" w:sz="8" w:color="auto"/>
            </w:tcBorders>
            <w:gridSpan w:val="8"/>
          </w:tcPr>
          <w:p>
            <w:pPr>
              <w:ind w:left="4400"/>
              <w:spacing w:after="0"/>
              <w:rPr>
                <w:sz w:val="20"/>
                <w:szCs w:val="20"/>
                <w:color w:val="auto"/>
              </w:rPr>
            </w:pPr>
            <w:r>
              <w:rPr>
                <w:rFonts w:ascii="Times New Roman" w:cs="Times New Roman" w:eastAsia="Times New Roman" w:hAnsi="Times New Roman"/>
                <w:sz w:val="18"/>
                <w:szCs w:val="18"/>
                <w:color w:val="auto"/>
              </w:rPr>
              <w:t>78</w:t>
            </w:r>
          </w:p>
        </w:tc>
        <w:tc>
          <w:tcPr>
            <w:tcW w:w="700" w:type="dxa"/>
            <w:vAlign w:val="bottom"/>
            <w:tcBorders>
              <w:top w:val="single" w:sz="8" w:color="0000EE"/>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10.16</w:t>
            </w:r>
          </w:p>
        </w:tc>
        <w:tc>
          <w:tcPr>
            <w:tcW w:w="9800" w:type="dxa"/>
            <w:vAlign w:val="bottom"/>
            <w:tcBorders>
              <w:bottom w:val="single" w:sz="8" w:color="0000EE"/>
            </w:tcBorders>
            <w:gridSpan w:val="18"/>
            <w:shd w:val="clear" w:color="auto" w:fill="CCEEFF"/>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of Registration Rights Agreement dated February 25, 2025, between BiomX Inc. and the purchasers (Incorporated by reference to</w:t>
              </w:r>
            </w:hyperlink>
          </w:p>
        </w:tc>
        <w:tc>
          <w:tcPr>
            <w:tcW w:w="300" w:type="dxa"/>
            <w:vAlign w:val="bottom"/>
            <w:tcBorders>
              <w:bottom w:val="single" w:sz="8" w:color="CCEEFF"/>
            </w:tcBorders>
            <w:gridSpan w:val="8"/>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Exhibit 10.2 to the Company’s Current Report on Form 8-K filed by the Company on February 27, 2025)</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Warrant Exercise and Reload Agreement dated February 25, 2025, between BiomX Inc. and the holders (Incorporated by reference to</w:t>
              </w:r>
            </w:hyperlink>
          </w:p>
        </w:tc>
      </w:tr>
      <w:tr>
        <w:trPr>
          <w:trHeight w:val="196"/>
        </w:trPr>
        <w:tc>
          <w:tcPr>
            <w:tcW w:w="1140" w:type="dxa"/>
            <w:vAlign w:val="bottom"/>
          </w:tcPr>
          <w:p>
            <w:pPr>
              <w:spacing w:after="0"/>
              <w:rPr>
                <w:sz w:val="17"/>
                <w:szCs w:val="17"/>
                <w:color w:val="auto"/>
              </w:rPr>
            </w:pPr>
          </w:p>
        </w:tc>
        <w:tc>
          <w:tcPr>
            <w:tcW w:w="96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Exhibit 10.3 to the Company’s Current Report on Form 8-K filed by the Company on February 27, 2025)</w:t>
              </w:r>
            </w:hyperlink>
          </w:p>
        </w:tc>
        <w:tc>
          <w:tcPr>
            <w:tcW w:w="480" w:type="dxa"/>
            <w:vAlign w:val="bottom"/>
            <w:gridSpan w:val="10"/>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96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Placement Agency Agreement dated February 25, 2025, between BiomX Inc. and Laidlaw and Company (UK) Ltd. (Incorporated by</w:t>
              </w:r>
            </w:hyperlink>
          </w:p>
        </w:tc>
        <w:tc>
          <w:tcPr>
            <w:tcW w:w="500" w:type="dxa"/>
            <w:vAlign w:val="bottom"/>
            <w:tcBorders>
              <w:bottom w:val="single" w:sz="8" w:color="CCEEFF"/>
            </w:tcBorders>
            <w:gridSpan w:val="11"/>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reference to Exhibit 10.4 to the Company’s Current Report on Form 8-K filed by the Company on February 27, 2025)</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MTEC Base Agreement No. 2019-532, dated as of August 22, 2019, by and between Advanced Technology International (MTEC</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6"/>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Consortium Manager) and Adaptive Phage Therapeutics, Inc., and the following modifications thereof: (i) Modification No. 1, dated as of</w:t>
              </w:r>
            </w:hyperlink>
          </w:p>
        </w:tc>
      </w:tr>
      <w:tr>
        <w:trPr>
          <w:trHeight w:val="196"/>
        </w:trPr>
        <w:tc>
          <w:tcPr>
            <w:tcW w:w="1140" w:type="dxa"/>
            <w:vAlign w:val="bottom"/>
          </w:tcPr>
          <w:p>
            <w:pPr>
              <w:spacing w:after="0"/>
              <w:rPr>
                <w:sz w:val="17"/>
                <w:szCs w:val="17"/>
                <w:color w:val="auto"/>
              </w:rPr>
            </w:pPr>
          </w:p>
        </w:tc>
        <w:tc>
          <w:tcPr>
            <w:tcW w:w="99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September 30, 2019; (ii) Modification No. 2, dated as of July 22, 2020; (iii) Modification No. 3, dated as of September 27, 2021; (iv)</w:t>
              </w:r>
            </w:hyperlink>
          </w:p>
        </w:tc>
        <w:tc>
          <w:tcPr>
            <w:tcW w:w="160" w:type="dxa"/>
            <w:vAlign w:val="bottom"/>
            <w:gridSpan w:val="5"/>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6"/>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Modification No. 4, dated as of September 8, 2022; (v) Modification No. 5, dated as of December 16, 2022; (vi) Modification No. 6, dated</w:t>
              </w:r>
            </w:hyperlink>
          </w:p>
        </w:tc>
      </w:tr>
      <w:tr>
        <w:trPr>
          <w:trHeight w:val="196"/>
        </w:trPr>
        <w:tc>
          <w:tcPr>
            <w:tcW w:w="1140" w:type="dxa"/>
            <w:vAlign w:val="bottom"/>
          </w:tcPr>
          <w:p>
            <w:pPr>
              <w:spacing w:after="0"/>
              <w:rPr>
                <w:sz w:val="17"/>
                <w:szCs w:val="17"/>
                <w:color w:val="auto"/>
              </w:rPr>
            </w:pPr>
          </w:p>
        </w:tc>
        <w:tc>
          <w:tcPr>
            <w:tcW w:w="99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as of December 19, 2023; (vii) Modification No. 7, dated as of January 16, 2024; and (viii) Modification No. 8, dated as of September 11,</w:t>
              </w:r>
            </w:hyperlink>
          </w:p>
        </w:tc>
        <w:tc>
          <w:tcPr>
            <w:tcW w:w="1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2024 (Incorporated by reference to Exhibit 10.34 to the Company’s Annual Report on Form 10-K filed by the Company on March 25,</w:t>
              </w:r>
            </w:hyperlink>
          </w:p>
        </w:tc>
        <w:tc>
          <w:tcPr>
            <w:tcW w:w="1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2025)</w:t>
              </w:r>
            </w:hyperlink>
          </w:p>
        </w:tc>
        <w:tc>
          <w:tcPr>
            <w:tcW w:w="1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Securities Purchase Agreement dated December 26, 2025, between BiomX Inc. and the purchasers party thereto (Incorporated by</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8580" w:type="dxa"/>
            <w:vAlign w:val="bottom"/>
            <w:tcBorders>
              <w:top w:val="single" w:sz="8" w:color="0000EE"/>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reference to Exhibit 10.1 to the Company’s Current Report on Form 8-K filed by the Company on December 29, 2025)</w:t>
              </w:r>
            </w:hyperlink>
          </w:p>
        </w:tc>
        <w:tc>
          <w:tcPr>
            <w:tcW w:w="136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5"/>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98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Form of Registration Rights Agreement dated December 26, 2025, between BiomX Inc. and the purchasers (Incorporated by reference to</w:t>
              </w:r>
            </w:hyperlink>
          </w:p>
        </w:tc>
        <w:tc>
          <w:tcPr>
            <w:tcW w:w="220" w:type="dxa"/>
            <w:vAlign w:val="bottom"/>
            <w:gridSpan w:val="7"/>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6"/>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Exhibit 10.2 to the Company’s Current Report on Form 8-K filed by the Company on December 29, 2025)</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996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BiomX Inc. Insider Trading Policy (Incorporated by reference to Exhibit 19.1 to the Company’s Annual Report on Form 10-K filed by the</w:t>
              </w:r>
            </w:hyperlink>
          </w:p>
        </w:tc>
        <w:tc>
          <w:tcPr>
            <w:tcW w:w="140" w:type="dxa"/>
            <w:vAlign w:val="bottom"/>
            <w:tcBorders>
              <w:bottom w:val="single" w:sz="8" w:color="CCEEFF"/>
            </w:tcBorders>
            <w:gridSpan w:val="4"/>
            <w:shd w:val="clear" w:color="auto" w:fill="CCEEFF"/>
          </w:tcPr>
          <w:p>
            <w:pPr>
              <w:spacing w:after="0"/>
              <w:rPr>
                <w:sz w:val="15"/>
                <w:szCs w:val="15"/>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Company on March 25, 2025)</w:t>
              </w:r>
            </w:hyperlink>
          </w:p>
        </w:tc>
        <w:tc>
          <w:tcPr>
            <w:tcW w:w="7920" w:type="dxa"/>
            <w:vAlign w:val="bottom"/>
            <w:tcBorders>
              <w:bottom w:val="single" w:sz="8" w:color="CCEEFF"/>
            </w:tcBorders>
            <w:gridSpan w:val="22"/>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Subsidiaries of Company</w:t>
            </w: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Kesselman &amp; Kesselman, Certified Public Accountants (Isr.), a member firm of PricewaterhouseCoopers International Limited,</w:t>
            </w: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580" w:type="dxa"/>
            <w:vAlign w:val="bottom"/>
            <w:tcBorders>
              <w:top w:val="single" w:sz="8" w:color="0000EE"/>
              <w:bottom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an independent registered public accounting firm.</w:t>
            </w:r>
          </w:p>
        </w:tc>
        <w:tc>
          <w:tcPr>
            <w:tcW w:w="6440" w:type="dxa"/>
            <w:vAlign w:val="bottom"/>
            <w:tcBorders>
              <w:top w:val="single" w:sz="8" w:color="0000EE"/>
              <w:bottom w:val="single" w:sz="8" w:color="CCEEFF"/>
            </w:tcBorders>
            <w:gridSpan w:val="19"/>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 and Rule 15d-14(a).</w:t>
            </w: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61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 and Rule 15d-14(a).</w:t>
            </w:r>
          </w:p>
        </w:tc>
        <w:tc>
          <w:tcPr>
            <w:tcW w:w="4000" w:type="dxa"/>
            <w:vAlign w:val="bottom"/>
            <w:tcBorders>
              <w:bottom w:val="single" w:sz="8" w:color="CCEEFF"/>
            </w:tcBorders>
            <w:gridSpan w:val="20"/>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 1350.</w:t>
            </w: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Clawback Policy (Incorporated by reference to Exhibit 97.1 to the Company’s Annual Report on Form 10-K filed by the Company on April</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4, 2024)</w:t>
              </w:r>
            </w:hyperlink>
          </w:p>
        </w:tc>
        <w:tc>
          <w:tcPr>
            <w:tcW w:w="360" w:type="dxa"/>
            <w:vAlign w:val="bottom"/>
            <w:tcBorders>
              <w:top w:val="single" w:sz="8" w:color="0000EE"/>
            </w:tcBorders>
            <w:shd w:val="clear" w:color="auto" w:fill="CCEEFF"/>
          </w:tcPr>
          <w:p>
            <w:pPr>
              <w:spacing w:after="0"/>
              <w:rPr>
                <w:sz w:val="17"/>
                <w:szCs w:val="17"/>
                <w:color w:val="auto"/>
              </w:rPr>
            </w:pPr>
          </w:p>
        </w:tc>
        <w:tc>
          <w:tcPr>
            <w:tcW w:w="1400" w:type="dxa"/>
            <w:vAlign w:val="bottom"/>
            <w:tcBorders>
              <w:top w:val="single" w:sz="8" w:color="0000EE"/>
            </w:tcBorders>
            <w:shd w:val="clear" w:color="auto" w:fill="CCEEFF"/>
          </w:tcPr>
          <w:p>
            <w:pPr>
              <w:spacing w:after="0"/>
              <w:rPr>
                <w:sz w:val="17"/>
                <w:szCs w:val="17"/>
                <w:color w:val="auto"/>
              </w:rPr>
            </w:pPr>
          </w:p>
        </w:tc>
        <w:tc>
          <w:tcPr>
            <w:tcW w:w="25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4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cause competitive harm to the Company if publicly disclosed.</w:t>
      </w:r>
    </w:p>
    <w:p>
      <w:pPr>
        <w:spacing w:after="0" w:line="9"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 compensatory plan or agreement.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of 1934, the registrant caused this Annual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94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BIOMX INC.</w:t>
            </w:r>
          </w:p>
        </w:tc>
      </w:tr>
      <w:tr>
        <w:trPr>
          <w:trHeight w:val="43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19, 2026</w:t>
            </w: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Solomon</w:t>
            </w:r>
          </w:p>
        </w:tc>
      </w:tr>
      <w:tr>
        <w:trPr>
          <w:trHeight w:val="198"/>
        </w:trPr>
        <w:tc>
          <w:tcPr>
            <w:tcW w:w="4300" w:type="dxa"/>
            <w:vAlign w:val="bottom"/>
          </w:tcPr>
          <w:p>
            <w:pPr>
              <w:spacing w:after="0"/>
              <w:rPr>
                <w:sz w:val="17"/>
                <w:szCs w:val="17"/>
                <w:color w:val="auto"/>
              </w:rPr>
            </w:pPr>
          </w:p>
        </w:tc>
        <w:tc>
          <w:tcPr>
            <w:tcW w:w="3020" w:type="dxa"/>
            <w:vAlign w:val="bottom"/>
          </w:tcPr>
          <w:p>
            <w:pPr>
              <w:ind w:left="24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Jonathan Solomon</w:t>
            </w:r>
          </w:p>
        </w:tc>
      </w:tr>
      <w:tr>
        <w:trPr>
          <w:trHeight w:val="234"/>
        </w:trPr>
        <w:tc>
          <w:tcPr>
            <w:tcW w:w="4300" w:type="dxa"/>
            <w:vAlign w:val="bottom"/>
          </w:tcPr>
          <w:p>
            <w:pPr>
              <w:spacing w:after="0"/>
              <w:rPr>
                <w:sz w:val="20"/>
                <w:szCs w:val="20"/>
                <w:color w:val="auto"/>
              </w:rPr>
            </w:pP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Solomon</w:t>
            </w:r>
          </w:p>
        </w:tc>
        <w:tc>
          <w:tcPr>
            <w:tcW w:w="12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Jonathan Solomon</w:t>
            </w:r>
          </w:p>
        </w:tc>
        <w:tc>
          <w:tcPr>
            <w:tcW w:w="120" w:type="dxa"/>
            <w:vAlign w:val="bottom"/>
          </w:tcPr>
          <w:p>
            <w:pPr>
              <w:spacing w:after="0"/>
              <w:rPr>
                <w:sz w:val="20"/>
                <w:szCs w:val="20"/>
                <w:color w:val="auto"/>
              </w:rPr>
            </w:pPr>
          </w:p>
        </w:tc>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202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Marina Wolfson</w:t>
            </w:r>
          </w:p>
        </w:tc>
        <w:tc>
          <w:tcPr>
            <w:tcW w:w="12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184"/>
        </w:trPr>
        <w:tc>
          <w:tcPr>
            <w:tcW w:w="42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Marina Wolfson</w:t>
            </w:r>
          </w:p>
        </w:tc>
        <w:tc>
          <w:tcPr>
            <w:tcW w:w="120" w:type="dxa"/>
            <w:vAlign w:val="bottom"/>
          </w:tcPr>
          <w:p>
            <w:pPr>
              <w:spacing w:after="0"/>
              <w:rPr>
                <w:sz w:val="16"/>
                <w:szCs w:val="16"/>
                <w:color w:val="auto"/>
              </w:rPr>
            </w:pPr>
          </w:p>
        </w:tc>
        <w:tc>
          <w:tcPr>
            <w:tcW w:w="48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2020" w:type="dxa"/>
            <w:vAlign w:val="bottom"/>
          </w:tcPr>
          <w:p>
            <w:pPr>
              <w:spacing w:after="0"/>
              <w:rPr>
                <w:sz w:val="16"/>
                <w:szCs w:val="16"/>
                <w:color w:val="auto"/>
              </w:rPr>
            </w:pP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020" w:type="dxa"/>
            <w:vAlign w:val="bottom"/>
          </w:tcPr>
          <w:p>
            <w:pPr>
              <w:spacing w:after="0"/>
              <w:rPr>
                <w:sz w:val="20"/>
                <w:szCs w:val="20"/>
                <w:color w:val="auto"/>
              </w:rPr>
            </w:pPr>
          </w:p>
        </w:tc>
      </w:tr>
      <w:tr>
        <w:trPr>
          <w:trHeight w:val="439"/>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Russell Greig</w:t>
            </w:r>
          </w:p>
        </w:tc>
        <w:tc>
          <w:tcPr>
            <w:tcW w:w="12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Dr. Russell Greig</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Liat Bidas</w:t>
            </w:r>
          </w:p>
        </w:tc>
        <w:tc>
          <w:tcPr>
            <w:tcW w:w="12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Liat Bidas</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Blum</w:t>
            </w:r>
          </w:p>
        </w:tc>
        <w:tc>
          <w:tcPr>
            <w:tcW w:w="12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Susan Bloom</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Merril</w:t>
            </w:r>
          </w:p>
        </w:tc>
        <w:tc>
          <w:tcPr>
            <w:tcW w:w="12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Gregory Merril</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Moses</w:t>
            </w:r>
          </w:p>
        </w:tc>
        <w:tc>
          <w:tcPr>
            <w:tcW w:w="12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Dr. Alan Moses</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Williams</w:t>
            </w:r>
          </w:p>
        </w:tc>
        <w:tc>
          <w:tcPr>
            <w:tcW w:w="12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Edward Williams</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Reuven Yeganeh</w:t>
            </w:r>
          </w:p>
        </w:tc>
        <w:tc>
          <w:tcPr>
            <w:tcW w:w="12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Reuven Yeganeh</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37"/>
        </w:trPr>
        <w:tc>
          <w:tcPr>
            <w:tcW w:w="42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jc w:val="right"/>
              <w:ind w:right="33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19685</wp:posOffset>
            </wp:positionV>
            <wp:extent cx="6343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2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name: Kesselman &amp; Kesselman C.P.A.s ,</w:t>
            </w:r>
          </w:p>
        </w:tc>
        <w:tc>
          <w:tcPr>
            <w:tcW w:w="4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216"/>
        </w:trPr>
        <w:tc>
          <w:tcPr>
            <w:tcW w:w="160" w:type="dxa"/>
            <w:vAlign w:val="bottom"/>
            <w:shd w:val="clear" w:color="auto" w:fill="CCEEFF"/>
          </w:tcPr>
          <w:p>
            <w:pPr>
              <w:spacing w:after="0"/>
              <w:rPr>
                <w:sz w:val="18"/>
                <w:szCs w:val="18"/>
                <w:color w:val="auto"/>
              </w:rPr>
            </w:pPr>
          </w:p>
        </w:tc>
        <w:tc>
          <w:tcPr>
            <w:tcW w:w="9760" w:type="dxa"/>
            <w:vAlign w:val="bottom"/>
            <w:gridSpan w:val="8"/>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PCAOB ID:1309)</w:t>
            </w:r>
          </w:p>
        </w:tc>
        <w:tc>
          <w:tcPr>
            <w:tcW w:w="1320" w:type="dxa"/>
            <w:vAlign w:val="bottom"/>
            <w:gridSpan w:val="2"/>
            <w:shd w:val="clear" w:color="auto" w:fill="CCEEFF"/>
          </w:tcPr>
          <w:p>
            <w:pPr>
              <w:ind w:left="700"/>
              <w:spacing w:after="0" w:line="19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216"/>
        </w:trPr>
        <w:tc>
          <w:tcPr>
            <w:tcW w:w="9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6"/>
        </w:trPr>
        <w:tc>
          <w:tcPr>
            <w:tcW w:w="99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5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 F-5</w:t>
            </w:r>
          </w:p>
        </w:tc>
      </w:tr>
      <w:tr>
        <w:trPr>
          <w:trHeight w:val="216"/>
        </w:trPr>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spacing w:after="0"/>
              <w:rPr>
                <w:sz w:val="18"/>
                <w:szCs w:val="18"/>
                <w:color w:val="auto"/>
              </w:rPr>
            </w:pPr>
          </w:p>
        </w:tc>
      </w:tr>
      <w:tr>
        <w:trPr>
          <w:trHeight w:val="196"/>
        </w:trPr>
        <w:tc>
          <w:tcPr>
            <w:tcW w:w="99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320" w:type="dxa"/>
            <w:vAlign w:val="bottom"/>
            <w:gridSpan w:val="2"/>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spacing w:after="0"/>
              <w:rPr>
                <w:sz w:val="18"/>
                <w:szCs w:val="18"/>
                <w:color w:val="auto"/>
              </w:rPr>
            </w:pPr>
          </w:p>
        </w:tc>
      </w:tr>
      <w:tr>
        <w:trPr>
          <w:trHeight w:val="196"/>
        </w:trPr>
        <w:tc>
          <w:tcPr>
            <w:tcW w:w="99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(capital deficiency)</w:t>
            </w:r>
          </w:p>
        </w:tc>
        <w:tc>
          <w:tcPr>
            <w:tcW w:w="1320" w:type="dxa"/>
            <w:vAlign w:val="bottom"/>
            <w:gridSpan w:val="2"/>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99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5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 F-9</w:t>
            </w:r>
          </w:p>
        </w:tc>
      </w:tr>
      <w:tr>
        <w:trPr>
          <w:trHeight w:val="216"/>
        </w:trPr>
        <w:tc>
          <w:tcPr>
            <w:tcW w:w="1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99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F-10</w:t>
            </w:r>
          </w:p>
        </w:tc>
        <w:tc>
          <w:tcPr>
            <w:tcW w:w="5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 F-40</w:t>
            </w:r>
          </w:p>
        </w:tc>
      </w:tr>
      <w:tr>
        <w:trPr>
          <w:trHeight w:val="655"/>
        </w:trPr>
        <w:tc>
          <w:tcPr>
            <w:tcW w:w="160" w:type="dxa"/>
            <w:vAlign w:val="bottom"/>
            <w:tcBorders>
              <w:top w:val="single" w:sz="8" w:color="0000EE"/>
              <w:bottom w:val="single" w:sz="8" w:color="auto"/>
            </w:tcBorders>
          </w:tcPr>
          <w:p>
            <w:pPr>
              <w:spacing w:after="0"/>
              <w:rPr>
                <w:sz w:val="24"/>
                <w:szCs w:val="24"/>
                <w:color w:val="auto"/>
              </w:rPr>
            </w:pPr>
          </w:p>
        </w:tc>
        <w:tc>
          <w:tcPr>
            <w:tcW w:w="13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6500" w:type="dxa"/>
            <w:vAlign w:val="bottom"/>
            <w:tcBorders>
              <w:top w:val="single" w:sz="8" w:color="CCEEFF"/>
              <w:bottom w:val="single" w:sz="8" w:color="auto"/>
            </w:tcBorders>
            <w:gridSpan w:val="3"/>
          </w:tcPr>
          <w:p>
            <w:pPr>
              <w:ind w:left="2080"/>
              <w:spacing w:after="0"/>
              <w:rPr>
                <w:sz w:val="20"/>
                <w:szCs w:val="20"/>
                <w:color w:val="auto"/>
              </w:rPr>
            </w:pPr>
            <w:r>
              <w:rPr>
                <w:rFonts w:ascii="Times New Roman" w:cs="Times New Roman" w:eastAsia="Times New Roman" w:hAnsi="Times New Roman"/>
                <w:sz w:val="18"/>
                <w:szCs w:val="18"/>
                <w:color w:val="auto"/>
              </w:rPr>
              <w:t>F-1</w:t>
            </w:r>
          </w:p>
        </w:tc>
        <w:tc>
          <w:tcPr>
            <w:tcW w:w="7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9" w:name="page90"/>
    <w:bookmarkEnd w:id="89"/>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BiomX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BiomX Inc. and its subsidiaries (the “Company”) as of December 31, 2025 and 2024, and the related consolidated statements of operations, changes in stockholders' equity (capital deficiency)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22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1B to the consolidated financial statements, the Company has incurred significant losses and negative cash flows from operations, incurred an accumulated deficit, and has stated that these events or conditions raise substantial doubt on the Company’s ability to continue as a going concern. Management's plans in regard to these matters are also described in Note 1B.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In-process research and development ("IPR&amp;D") impairment assessment</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described in Notes 1C, 2R and 11 to the consolidated financial statements, the Company’s IPR&amp;D balance was $0.2 million as of December 31, 2025. Management conducts its impairment test at the last day of the third quarter of each year, or more frequently if events or circumstances indicate that the carrying value of the IPR&amp;D may be impaired. Potential impairment is identified by comparing the fair value of the IPR&amp;D to its carrying value. During the fourth quarter of 2025, management noted that an indicator of potential impairment existed due to a significant decline in the fair value of the Company's stock. The impairment assessment resulted in impairment charge of $11.8 million. Management's significant judgments and assumptions are the amount and timing of projected future cash flows, discount rate and control premium.</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IPR&amp;D impairment assessment is a critical matter are (i) the significant judgment by management when developing the fair value estimate of the IPR&amp;D; (ii) a high degree of auditor judgment, subjectivity and effort in performing procedures and evaluating management's significant assumptions related to amount and timing of projected future cash flows, discount rates and control premium; and (iii) the audit effort involved the use of professionals with specialized skill and knowledge.</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of the IPR&amp;D; (ii) evaluating the appropriateness of the models used by management; (iii) testing the completeness and accuracy and relevance of the underlying data used in the models; and (iv) evaluating the reasonableness of the significant assumptions used by management related to amount and timing of projected future cash flows, discount rates and control premium. Evaluating management’s assumptions related to the discount rates and control premium involved evaluating whether the assumptions used by management were reasonable considering the consistency with external market and industry data. Professionals with specialized skill and knowledge were used to assist in evaluating (i) the appropriateness of the models, and (ii) the reasonableness of the discount rates assumptions.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/s/Kesselman &amp; Kesselman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held for sale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5,045</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 (“IPR&amp;D”) asset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22,713</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 payables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3,120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 payables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6,379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8,267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(capital deficiency)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Authorized - 1,000,000 shares as of December 31, 2025 and December 31, 2024.</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 147,512 as of December 31, 2025 and 147,735 shares as of December 31, 2024.</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18,617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18,645</w:t>
            </w:r>
          </w:p>
        </w:tc>
        <w:tc>
          <w:tcPr>
            <w:tcW w:w="80" w:type="dxa"/>
            <w:vAlign w:val="bottom"/>
          </w:tcPr>
          <w:p>
            <w:pPr>
              <w:spacing w:after="0"/>
              <w:rPr>
                <w:sz w:val="20"/>
                <w:szCs w:val="20"/>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(“Common Stock”); Authorized - 750,000,000 shares as of December 31, 2025</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2024. Issued and outstanding – 1,593,703 and 1,023,010 as of December 31, 2025 and December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2024, respectively. (*)</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196,970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186,194</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(216,896)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(180,697)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(capital deficiency)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5,783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43,233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amounts have been retroactively adjusted to reflect a 1-for-19 reverse share split as discussed in Note 12A.</w:t>
      </w:r>
    </w:p>
    <w:p>
      <w:pPr>
        <w:spacing w:after="0" w:line="22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(“R&amp;D”) expenses,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24,663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early lease termination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IPR&amp;D impairment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3,237</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long-lived assets impairment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4,046</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44,523</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 ,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change in fair value of warrants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(26,458)</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17,714</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17,727</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 of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 of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58.31</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basic loss per share of Common Stock (*)</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1,631,037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698,870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diluted loss per share of Common Stock (*)</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1,631,037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757,749</w:t>
            </w:r>
          </w:p>
        </w:tc>
      </w:tr>
    </w:tbl>
    <w:p>
      <w:pPr>
        <w:spacing w:after="0" w:line="198"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amounts have been retroactively adjusted to reflect a 1-for-19 reverse share split as discussed in Note 12A.</w:t>
      </w:r>
    </w:p>
    <w:p>
      <w:pPr>
        <w:spacing w:after="0" w:line="22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CONSOLIDATED STATEMENTS OF CHANGES IN STOCKHOLDERS’ EQUITY (CAPITAL DEFICIENCY)</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22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2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Stockholder’</w:t>
            </w:r>
          </w:p>
        </w:tc>
      </w:tr>
      <w:tr>
        <w:trPr>
          <w:trHeight w:val="245"/>
        </w:trPr>
        <w:tc>
          <w:tcPr>
            <w:tcW w:w="22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Preferred Shares</w:t>
            </w:r>
          </w:p>
        </w:tc>
        <w:tc>
          <w:tcPr>
            <w:tcW w:w="222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94"/>
        </w:trPr>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paid in</w:t>
            </w:r>
          </w:p>
        </w:tc>
        <w:tc>
          <w:tcPr>
            <w:tcW w:w="11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(capital</w:t>
            </w:r>
          </w:p>
        </w:tc>
      </w:tr>
      <w:tr>
        <w:trPr>
          <w:trHeight w:val="245"/>
        </w:trPr>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deficiency)</w:t>
            </w:r>
          </w:p>
        </w:tc>
      </w:tr>
    </w:tbl>
    <w:p>
      <w:pPr>
        <w:spacing w:after="0" w:line="194" w:lineRule="exact"/>
        <w:rPr>
          <w:sz w:val="20"/>
          <w:szCs w:val="20"/>
          <w:color w:val="auto"/>
        </w:rPr>
      </w:pPr>
    </w:p>
    <w:p>
      <w:pPr>
        <w:sectPr>
          <w:pgSz w:w="11900" w:h="16838" w:orient="portrait"/>
          <w:cols w:equalWidth="0" w:num="1">
            <w:col w:w="11200"/>
          </w:cols>
          <w:pgMar w:left="320" w:top="873" w:right="379" w:bottom="1440" w:gutter="0" w:footer="0" w:header="0"/>
        </w:sect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Merger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and Redeemable Convertible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upon the APT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net of issuance cost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40,470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Pre-Funded Warrants into shares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Common Stock</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an Open</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 Offering Agreement, net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Redeemable Convertible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upon March 2024 PIPE,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issuance costs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216,417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Shares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into shares of Common Stock</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(109,152)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(13,775)</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restricted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 (“RSUs”) vesting</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147,735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18,645</w:t>
            </w:r>
          </w:p>
        </w:tc>
        <w:tc>
          <w:tcPr>
            <w:tcW w:w="60" w:type="dxa"/>
            <w:vAlign w:val="bottom"/>
          </w:tcPr>
          <w:p>
            <w:pPr>
              <w:spacing w:after="0"/>
              <w:rPr>
                <w:sz w:val="24"/>
                <w:szCs w:val="24"/>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Registered Pre-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Funded Warrants and Private Pre-Funded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under the February 2025 SPA,</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issuance costs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the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Inducement Letter Agreements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Private Pre-Funded Warrants and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Warrants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to Common Stock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Vested restricted stock units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the At the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 Sales Agreement, net of issuance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Redeemable Convertible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into Common Stock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45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147,512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18,617</w:t>
            </w:r>
          </w:p>
        </w:tc>
        <w:tc>
          <w:tcPr>
            <w:tcW w:w="60" w:type="dxa"/>
            <w:vAlign w:val="bottom"/>
          </w:tcPr>
          <w:p>
            <w:pPr>
              <w:spacing w:after="0"/>
              <w:rPr>
                <w:sz w:val="24"/>
                <w:szCs w:val="24"/>
                <w:color w:val="auto"/>
              </w:rPr>
            </w:pPr>
          </w:p>
        </w:tc>
      </w:tr>
      <w:tr>
        <w:trPr>
          <w:trHeight w:val="21"/>
        </w:trPr>
        <w:tc>
          <w:tcPr>
            <w:tcW w:w="3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300"/>
        <w:spacing w:after="0"/>
        <w:tabs>
          <w:tab w:leader="none" w:pos="1880" w:val="left"/>
          <w:tab w:leader="none" w:pos="2500" w:val="left"/>
          <w:tab w:leader="none" w:pos="3660" w:val="left"/>
          <w:tab w:leader="none" w:pos="5100" w:val="left"/>
        </w:tabs>
        <w:rPr>
          <w:sz w:val="20"/>
          <w:szCs w:val="20"/>
          <w:color w:val="auto"/>
        </w:rPr>
      </w:pPr>
      <w:r>
        <w:rPr>
          <w:rFonts w:ascii="Times New Roman" w:cs="Times New Roman" w:eastAsia="Times New Roman" w:hAnsi="Times New Roman"/>
          <w:sz w:val="18"/>
          <w:szCs w:val="18"/>
          <w:color w:val="auto"/>
        </w:rPr>
        <w:t>314,943</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166,048</w:t>
      </w:r>
      <w:r>
        <w:rPr>
          <w:sz w:val="20"/>
          <w:szCs w:val="20"/>
          <w:color w:val="auto"/>
        </w:rPr>
        <w:tab/>
      </w:r>
      <w:r>
        <w:rPr>
          <w:rFonts w:ascii="Times New Roman" w:cs="Times New Roman" w:eastAsia="Times New Roman" w:hAnsi="Times New Roman"/>
          <w:sz w:val="18"/>
          <w:szCs w:val="18"/>
          <w:color w:val="auto"/>
        </w:rPr>
        <w:t>(162,970)</w:t>
      </w:r>
      <w:r>
        <w:rPr>
          <w:sz w:val="20"/>
          <w:szCs w:val="20"/>
          <w:color w:val="auto"/>
        </w:rPr>
        <w:tab/>
      </w:r>
      <w:r>
        <w:rPr>
          <w:rFonts w:ascii="Times New Roman" w:cs="Times New Roman" w:eastAsia="Times New Roman" w:hAnsi="Times New Roman"/>
          <w:sz w:val="18"/>
          <w:szCs w:val="18"/>
          <w:color w:val="auto"/>
        </w:rPr>
        <w:t>3,081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-119380</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154305</wp:posOffset>
            </wp:positionV>
            <wp:extent cx="7132320" cy="548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48,237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60" w:type="dxa"/>
            <w:vAlign w:val="bottom"/>
          </w:tcPr>
          <w:p>
            <w:pPr>
              <w:spacing w:after="0"/>
              <w:rPr>
                <w:sz w:val="20"/>
                <w:szCs w:val="20"/>
                <w:color w:val="auto"/>
              </w:rPr>
            </w:pPr>
          </w:p>
        </w:tc>
      </w:tr>
      <w:tr>
        <w:trPr>
          <w:trHeight w:val="432"/>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76,770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r>
      <w:tr>
        <w:trPr>
          <w:trHeight w:val="648"/>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4"/>
                <w:szCs w:val="24"/>
                <w:color w:val="auto"/>
              </w:rPr>
            </w:pPr>
          </w:p>
        </w:tc>
      </w:tr>
      <w:tr>
        <w:trPr>
          <w:trHeight w:val="648"/>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60" w:type="dxa"/>
            <w:vAlign w:val="bottom"/>
          </w:tcPr>
          <w:p>
            <w:pPr>
              <w:spacing w:after="0"/>
              <w:rPr>
                <w:sz w:val="24"/>
                <w:szCs w:val="24"/>
                <w:color w:val="auto"/>
              </w:rPr>
            </w:pPr>
          </w:p>
        </w:tc>
      </w:tr>
      <w:tr>
        <w:trPr>
          <w:trHeight w:val="432"/>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574,484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13,774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14"/>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16"/>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60" w:type="dxa"/>
            <w:vAlign w:val="bottom"/>
          </w:tcPr>
          <w:p>
            <w:pPr>
              <w:spacing w:after="0"/>
              <w:rPr>
                <w:sz w:val="18"/>
                <w:szCs w:val="18"/>
                <w:color w:val="auto"/>
              </w:rPr>
            </w:pPr>
          </w:p>
        </w:tc>
      </w:tr>
      <w:tr>
        <w:trPr>
          <w:trHeight w:val="248"/>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(17,727)</w:t>
            </w:r>
          </w:p>
        </w:tc>
      </w:tr>
      <w:tr>
        <w:trPr>
          <w:trHeight w:val="27"/>
        </w:trPr>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1,023,010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186,194</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(180,697)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24,148</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-1945640</wp:posOffset>
            </wp:positionV>
            <wp:extent cx="713232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-1122680</wp:posOffset>
            </wp:positionV>
            <wp:extent cx="7132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-574040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-282575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148,857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878</w:t>
            </w:r>
          </w:p>
        </w:tc>
      </w:tr>
      <w:tr>
        <w:trPr>
          <w:trHeight w:val="432"/>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208,479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6,472</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60" w:type="dxa"/>
            <w:vAlign w:val="bottom"/>
          </w:tcPr>
          <w:p>
            <w:pPr>
              <w:spacing w:after="0"/>
              <w:rPr>
                <w:sz w:val="24"/>
                <w:szCs w:val="24"/>
                <w:color w:val="auto"/>
              </w:rPr>
            </w:pPr>
          </w:p>
        </w:tc>
      </w:tr>
      <w:tr>
        <w:trPr>
          <w:trHeight w:val="414"/>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75,223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121,773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1,305</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60" w:type="dxa"/>
            <w:vAlign w:val="bottom"/>
          </w:tcPr>
          <w:p>
            <w:pPr>
              <w:spacing w:after="0"/>
              <w:rPr>
                <w:sz w:val="24"/>
                <w:szCs w:val="24"/>
                <w:color w:val="auto"/>
              </w:rPr>
            </w:pPr>
          </w:p>
        </w:tc>
      </w:tr>
      <w:tr>
        <w:trPr>
          <w:trHeight w:val="414"/>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16"/>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60" w:type="dxa"/>
            <w:vAlign w:val="bottom"/>
          </w:tcPr>
          <w:p>
            <w:pPr>
              <w:spacing w:after="0"/>
              <w:rPr>
                <w:sz w:val="18"/>
                <w:szCs w:val="18"/>
                <w:color w:val="auto"/>
              </w:rPr>
            </w:pPr>
          </w:p>
        </w:tc>
      </w:tr>
      <w:tr>
        <w:trPr>
          <w:trHeight w:val="248"/>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(36,199)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(36,199)</w:t>
            </w:r>
          </w:p>
        </w:tc>
      </w:tr>
      <w:tr>
        <w:trPr>
          <w:trHeight w:val="27"/>
        </w:trPr>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52"/>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1,593,703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196,970</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(216,896)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(1,302)</w:t>
            </w:r>
          </w:p>
        </w:tc>
      </w:tr>
      <w:tr>
        <w:trPr>
          <w:trHeight w:val="21"/>
        </w:trPr>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-2133600</wp:posOffset>
            </wp:positionV>
            <wp:extent cx="71323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-1584960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-1310640</wp:posOffset>
            </wp:positionV>
            <wp:extent cx="7132320"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-625475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-333375</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440" w:space="160"/>
            <w:col w:w="5600"/>
          </w:cols>
          <w:pgMar w:left="320" w:top="873" w:right="379" w:bottom="1440" w:gutter="0" w:footer="0" w:header="0"/>
          <w:type w:val="continuous"/>
        </w:sect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12A.</w:t>
      </w:r>
    </w:p>
    <w:p>
      <w:pPr>
        <w:spacing w:after="0" w:line="9"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12B.</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color w:val="auto"/>
        </w:rPr>
        <w:t>All share amounts have been retroactively adjusted to reflect a 1-for-19 reverse share split as discussed in Note 12A.</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2560" w:type="dxa"/>
            <w:vAlign w:val="bottom"/>
            <w:gridSpan w:val="4"/>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392"/>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3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(36,199)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w:t>
            </w: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required to reconcile net loss to cash flows used in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2,922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1,848</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Gain from early lease termination</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(2,949)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 (income), net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change in fair value of warrants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(6,111)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(26,458)</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Private Placement Warrants issuance cost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contract liability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Loss from sale and disposal of fixed assets, net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IPR&amp;D impairment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11,842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3,237</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long-lived asset impairment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4,046</w:t>
            </w: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2,243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 payables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account payables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50"/>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operating leases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316</w:t>
            </w:r>
          </w:p>
        </w:tc>
      </w:tr>
      <w:tr>
        <w:trPr>
          <w:trHeight w:val="250"/>
        </w:trPr>
        <w:tc>
          <w:tcPr>
            <w:tcW w:w="8680" w:type="dxa"/>
            <w:vAlign w:val="bottom"/>
            <w:tcBorders>
              <w:top w:val="single" w:sz="8" w:color="CCEEFF"/>
              <w:bottom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(26,390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(36,979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5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acquired from the APT acquisition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8680" w:type="dxa"/>
            <w:vAlign w:val="bottom"/>
            <w:tcBorders>
              <w:top w:val="single" w:sz="8" w:color="CCEEFF"/>
              <w:bottom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3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February 2025 SPA</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February 2025 SPA issuance costs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Warrants under February 2025 SPA</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4,531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Issuance of Common Stock under Inducement Letter Agreements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6,473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 exercise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Issuance of Common Stock under Open Market Sales Agreement, net of issuance costs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Issuance of Private Placement Warrants under March 2024 PIPE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28,745</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Redeemable Convertible Preferred Shares under March 2024 PIPE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21,269</w:t>
            </w:r>
          </w:p>
        </w:tc>
      </w:tr>
      <w:tr>
        <w:trPr>
          <w:trHeight w:val="237"/>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2024 PIPE issuance costs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3"/>
        </w:trPr>
        <w:tc>
          <w:tcPr>
            <w:tcW w:w="86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 and restricted cash</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(13,093)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2,110</w:t>
            </w: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 and restricted cash</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beginning of the year</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17,975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15,864</w:t>
            </w:r>
          </w:p>
        </w:tc>
      </w:tr>
      <w:tr>
        <w:trPr>
          <w:trHeight w:val="216"/>
        </w:trPr>
        <w:tc>
          <w:tcPr>
            <w:tcW w:w="3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end of the year</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4,955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17,975</w:t>
            </w:r>
          </w:p>
        </w:tc>
      </w:tr>
      <w:tr>
        <w:trPr>
          <w:trHeight w:val="21"/>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5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419"/>
        </w:trPr>
        <w:tc>
          <w:tcPr>
            <w:tcW w:w="6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AMOUNTS ON CONSOLIDATED BALANCE SHEETS:</w:t>
            </w:r>
          </w:p>
        </w:tc>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16,856</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17,975</w:t>
            </w:r>
          </w:p>
        </w:tc>
      </w:tr>
      <w:tr>
        <w:trPr>
          <w:trHeight w:val="216"/>
        </w:trPr>
        <w:tc>
          <w:tcPr>
            <w:tcW w:w="5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55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Taxes paid in Israel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55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and Operating lease right-of-use asset remeasurement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Derecognition of right-of-use asset as a result of operating lease termination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Derecognition of lease liability as a result of operating lease termination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 from March 2024 PIPE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Issuance of Common Stock under the APT acquisition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3,041</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Redeemable Convertible Preferred Shares under the APT acquisition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12,610</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Issuance of Merger Warrants under the APT acquisition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Shares conversion into shares of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13,774</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1 -</w:t>
      </w:r>
      <w:r>
        <w:rPr>
          <w:sz w:val="20"/>
          <w:szCs w:val="20"/>
          <w:color w:val="auto"/>
        </w:rPr>
        <w:tab/>
      </w:r>
      <w:r>
        <w:rPr>
          <w:rFonts w:ascii="Times New Roman" w:cs="Times New Roman" w:eastAsia="Times New Roman" w:hAnsi="Times New Roman"/>
          <w:sz w:val="17"/>
          <w:szCs w:val="17"/>
          <w:b w:val="1"/>
          <w:bCs w:val="1"/>
          <w:color w:val="auto"/>
        </w:rPr>
        <w:t>GENERAL</w:t>
      </w:r>
    </w:p>
    <w:p>
      <w:pPr>
        <w:spacing w:after="0" w:line="225" w:lineRule="exact"/>
        <w:rPr>
          <w:sz w:val="20"/>
          <w:szCs w:val="20"/>
          <w:color w:val="auto"/>
        </w:rPr>
      </w:pPr>
    </w:p>
    <w:p>
      <w:pPr>
        <w:ind w:left="1620" w:hanging="640"/>
        <w:spacing w:after="0"/>
        <w:tabs>
          <w:tab w:leader="none" w:pos="16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rFonts w:ascii="Times New Roman" w:cs="Times New Roman" w:eastAsia="Times New Roman" w:hAnsi="Times New Roman"/>
          <w:sz w:val="18"/>
          <w:szCs w:val="18"/>
          <w:b w:val="1"/>
          <w:bCs w:val="1"/>
          <w:color w:val="auto"/>
        </w:rPr>
      </w:pPr>
    </w:p>
    <w:p>
      <w:pPr>
        <w:ind w:left="162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BiomX Inc., (individually, and together with its subsidiaries, BiomX Ltd. (“BiomX Israel”), RondinX Ltd. and Adaptive Phage Therapeutics LLC, (“APT”), the “Company” or “BiomX”) was incorporated as a blank check company on November 1, 2017, under the laws of the state of Delaware, for the purpose of entering into a merger, stock exchange, asset acquisition, stock purchase, recapitalization, reorganization or similar business combination with one or more businesses or entities.</w:t>
      </w:r>
    </w:p>
    <w:p>
      <w:pPr>
        <w:spacing w:after="0" w:line="179" w:lineRule="exact"/>
        <w:rPr>
          <w:rFonts w:ascii="Times New Roman" w:cs="Times New Roman" w:eastAsia="Times New Roman" w:hAnsi="Times New Roman"/>
          <w:sz w:val="18"/>
          <w:szCs w:val="18"/>
          <w:b w:val="1"/>
          <w:bCs w:val="1"/>
          <w:color w:val="auto"/>
        </w:rPr>
      </w:pPr>
    </w:p>
    <w:p>
      <w:pPr>
        <w:ind w:left="1620"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29, 2019, the Company merged with BiomX Israel, who survived the merger as a wholly owned subsidiary of BiomX Inc. The Company acquired all outstanding shares of BiomX Israel. In exchange, shareholders of BiomX Israel received 79,311 shares of the Company’s Common Stock, representing 65% of the total shares issued and outstanding after the acquisition (“Recapitalization Transaction”). BiomX Israel was deemed the “accounting acquirer” due to the largest ownership interest in the Company. The Company’s shares of Common Stock are traded on the NYSE American under the symbol PHGE.</w:t>
      </w:r>
    </w:p>
    <w:p>
      <w:pPr>
        <w:spacing w:after="0" w:line="183" w:lineRule="exact"/>
        <w:rPr>
          <w:rFonts w:ascii="Times New Roman" w:cs="Times New Roman" w:eastAsia="Times New Roman" w:hAnsi="Times New Roman"/>
          <w:sz w:val="18"/>
          <w:szCs w:val="18"/>
          <w:b w:val="1"/>
          <w:bCs w:val="1"/>
          <w:color w:val="auto"/>
        </w:rPr>
      </w:pPr>
    </w:p>
    <w:p>
      <w:pPr>
        <w:ind w:left="16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BiomX is developing both natural and engineered phage cocktails designed to target and destroy harmful bacteria in chronic diseases, focusing its efforts, at this point, on diabetic foot infections. BiomX discovers and validates proprietary bacterial targets and customizes phage compositions against these targets.</w:t>
      </w:r>
    </w:p>
    <w:p>
      <w:pPr>
        <w:spacing w:after="0" w:line="175" w:lineRule="exact"/>
        <w:rPr>
          <w:rFonts w:ascii="Times New Roman" w:cs="Times New Roman" w:eastAsia="Times New Roman" w:hAnsi="Times New Roman"/>
          <w:sz w:val="18"/>
          <w:szCs w:val="18"/>
          <w:b w:val="1"/>
          <w:bCs w:val="1"/>
          <w:color w:val="auto"/>
        </w:rPr>
      </w:pPr>
    </w:p>
    <w:p>
      <w:pPr>
        <w:jc w:val="both"/>
        <w:ind w:left="1620" w:right="7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24, 2025, BiomX Israel filed an application with the Israeli Registrar of Companies for the expedited voluntary liquidation of its subsidiary, RondinX Ltd. which became effective on December 3, 2025. As of that date, RondinX had no significant operations.</w:t>
      </w:r>
    </w:p>
    <w:p>
      <w:pPr>
        <w:spacing w:after="0" w:line="175" w:lineRule="exact"/>
        <w:rPr>
          <w:rFonts w:ascii="Times New Roman" w:cs="Times New Roman" w:eastAsia="Times New Roman" w:hAnsi="Times New Roman"/>
          <w:sz w:val="18"/>
          <w:szCs w:val="18"/>
          <w:b w:val="1"/>
          <w:bCs w:val="1"/>
          <w:color w:val="auto"/>
        </w:rPr>
      </w:pPr>
    </w:p>
    <w:p>
      <w:pPr>
        <w:ind w:left="162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13, 2025, the Board of Directors approved a 1-for-19 reverse stock split of the Company’s shares of Common Stock (the “2025 Reverse Stock Split”), effective on November 25, 2025. See Note 12A for further information.</w:t>
      </w:r>
    </w:p>
    <w:p>
      <w:pPr>
        <w:spacing w:after="0" w:line="161" w:lineRule="exact"/>
        <w:rPr>
          <w:rFonts w:ascii="Times New Roman" w:cs="Times New Roman" w:eastAsia="Times New Roman" w:hAnsi="Times New Roman"/>
          <w:sz w:val="18"/>
          <w:szCs w:val="18"/>
          <w:b w:val="1"/>
          <w:bCs w:val="1"/>
          <w:color w:val="auto"/>
        </w:rPr>
      </w:pPr>
    </w:p>
    <w:p>
      <w:pPr>
        <w:ind w:left="162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2025, BiomX Israel commenced insolvency proceedings in Israel, following the announcement on December 8, 2025, of its discontinuation of the ongoing Phase 2b clinical trial of nebulized phage therapy BX004 in patients with cystic fibrosis associated with chronic Pseudomonas aeruginosa infections. As a result, BiomX Israel implemented cost-cutting measures including a significant reduction in workforce. On January 25, 2026, the Central District Court in Lod, Israel, appointed a trustee (the “Trustee”) to BiomX Israel to handle the administration of the insolvency proceedings. See further information in Note 19B.</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1 -</w:t>
      </w:r>
      <w:r>
        <w:rPr>
          <w:sz w:val="20"/>
          <w:szCs w:val="20"/>
          <w:color w:val="auto"/>
        </w:rPr>
        <w:tab/>
      </w:r>
      <w:r>
        <w:rPr>
          <w:rFonts w:ascii="Times New Roman" w:cs="Times New Roman" w:eastAsia="Times New Roman" w:hAnsi="Times New Roman"/>
          <w:sz w:val="17"/>
          <w:szCs w:val="17"/>
          <w:b w:val="1"/>
          <w:bCs w:val="1"/>
          <w:color w:val="auto"/>
        </w:rPr>
        <w:t>GENERAL (Cont.)</w:t>
      </w:r>
    </w:p>
    <w:p>
      <w:pPr>
        <w:spacing w:after="0" w:line="225" w:lineRule="exact"/>
        <w:rPr>
          <w:sz w:val="20"/>
          <w:szCs w:val="20"/>
          <w:color w:val="auto"/>
        </w:rPr>
      </w:pPr>
    </w:p>
    <w:p>
      <w:pPr>
        <w:ind w:left="1620" w:hanging="640"/>
        <w:spacing w:after="0"/>
        <w:tabs>
          <w:tab w:leader="none" w:pos="1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w:t>
      </w:r>
    </w:p>
    <w:p>
      <w:pPr>
        <w:spacing w:after="0" w:line="229"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incurred significant losses and negative cash flows from operations and incurred an accumulated deficit of</w:t>
      </w:r>
    </w:p>
    <w:p>
      <w:pPr>
        <w:spacing w:after="0" w:line="27" w:lineRule="exact"/>
        <w:rPr>
          <w:rFonts w:ascii="Times New Roman" w:cs="Times New Roman" w:eastAsia="Times New Roman" w:hAnsi="Times New Roman"/>
          <w:sz w:val="18"/>
          <w:szCs w:val="18"/>
          <w:b w:val="1"/>
          <w:bCs w:val="1"/>
          <w:color w:val="auto"/>
        </w:rPr>
      </w:pPr>
    </w:p>
    <w:p>
      <w:pPr>
        <w:ind w:left="1620" w:right="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$216,896 as of December 31, 2025. These are expected to continue in the foreseeable future. The Company plans to continue to fund its operations, as well as other development activities relating to additional product candidates, or other strategic alternatives through issuance of debt and/or equity securities, loans, and government grants. Management believes that its current funds, including the $3,000 raised in January 2026 as described in Note 19A, will be sufficient to fund its operations for only several months following the issuance date of these financial statements. The Company’s ability to raise capital is subject to market conditions and other aspects, which may affect the terms and availability of such funding and there is no assurance that the Company will be successful in such processes. As mentioned in Note 1A, BiomX Ltd has entered into insolvency proceedings in Israel in December 2025, following the discontinuation of the Phase 2b clinical trial of nebulized phage therapy BX004 in patients with cystic fibrosis and is currently working under a trustee appointed by the court. These factors raise substantial doubt about the Company’s ability to continue as a going concern. The consolidated financial statements have been prepared on a going concern basis and do not include any adjustments that may result from the outcome of such circumstances.</w:t>
      </w:r>
    </w:p>
    <w:p>
      <w:pPr>
        <w:spacing w:after="0" w:line="188"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 Agreement</w:t>
      </w:r>
    </w:p>
    <w:p>
      <w:pPr>
        <w:spacing w:after="0" w:line="229" w:lineRule="exact"/>
        <w:rPr>
          <w:rFonts w:ascii="Times New Roman" w:cs="Times New Roman" w:eastAsia="Times New Roman" w:hAnsi="Times New Roman"/>
          <w:sz w:val="18"/>
          <w:szCs w:val="18"/>
          <w:b w:val="1"/>
          <w:bCs w:val="1"/>
          <w:color w:val="auto"/>
        </w:rPr>
      </w:pPr>
    </w:p>
    <w:p>
      <w:pPr>
        <w:jc w:val="both"/>
        <w:ind w:left="16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6, 2024, the Company, entered into an agreement and plan of merger (the “Merger Agreement”) with BTX Merger Sub I, Inc., a Delaware corporation and a wholly owned subsidiary of the Company (“First Merger Sub”), BTX Merger Sub II, LLC, a Delaware limited liability company and wholly owned subsidiary of the Company (“Second Merger Sub”), and APT. Pursuant to the Merger Agreement, First Merger Sub merged with and into APT, with APT being the surviving corporation and becoming a wholly owned subsidiary of the Company (the “First Merger”). Immediately following the First Merger, APT merged with and into Second Merger Sub, pursuant to which Second Merger Sub was the surviving entity (collectively, the “Acquisition”). APT was a U.S.-based privately held, clinical-stage biotechnology company pioneering the development of phage-based therapies to combat bacterial infection. See further information regarding the consideration transferred to APT’s former stockholders in Note 12A.</w:t>
      </w:r>
    </w:p>
    <w:p>
      <w:pPr>
        <w:spacing w:after="0" w:line="191" w:lineRule="exact"/>
        <w:rPr>
          <w:rFonts w:ascii="Times New Roman" w:cs="Times New Roman" w:eastAsia="Times New Roman" w:hAnsi="Times New Roman"/>
          <w:sz w:val="18"/>
          <w:szCs w:val="18"/>
          <w:b w:val="1"/>
          <w:bCs w:val="1"/>
          <w:color w:val="auto"/>
        </w:rPr>
      </w:pPr>
    </w:p>
    <w:p>
      <w:pPr>
        <w:ind w:left="162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15, 2024, the effective date of the Acquisition (the “Closing Date”), APT’s former stockholders were issued an aggregate of 48,237 shares of the Company’s Common Stock, 40,470 Redeemable Convertible Preferred Shares and warrants to purchase up to an aggregate of 11,403 shares of the Company Common Stock (“Merger Warrants”). See further information in Note 12A.</w:t>
      </w:r>
    </w:p>
    <w:p>
      <w:pPr>
        <w:spacing w:after="0" w:line="175" w:lineRule="exact"/>
        <w:rPr>
          <w:rFonts w:ascii="Times New Roman" w:cs="Times New Roman" w:eastAsia="Times New Roman" w:hAnsi="Times New Roman"/>
          <w:sz w:val="18"/>
          <w:szCs w:val="18"/>
          <w:b w:val="1"/>
          <w:bCs w:val="1"/>
          <w:color w:val="auto"/>
        </w:rPr>
      </w:pPr>
    </w:p>
    <w:p>
      <w:pPr>
        <w:ind w:left="162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9, 2024 the Company’s stockholders approved, among other things, the conversion of the Redeemable Convertible Preferred Shares into shares of Common Stock. On July 15, 2024, 109,152 Redeemable Convertible Preferred Shares were converted into 574,484 shares of the Company’s Common Stock according to beneficial ownership limitations set by certain investors. During the year ended December 31, 2025, 223 Redeemable Convertible Preferred Shares were converted into 1,174 shares of the Company’s Common Stock according to beneficial ownership limitations set by certain investors.</w:t>
      </w:r>
    </w:p>
    <w:p>
      <w:pPr>
        <w:spacing w:after="0" w:line="183" w:lineRule="exact"/>
        <w:rPr>
          <w:rFonts w:ascii="Times New Roman" w:cs="Times New Roman" w:eastAsia="Times New Roman" w:hAnsi="Times New Roman"/>
          <w:sz w:val="18"/>
          <w:szCs w:val="18"/>
          <w:b w:val="1"/>
          <w:bCs w:val="1"/>
          <w:color w:val="auto"/>
        </w:rPr>
      </w:pPr>
    </w:p>
    <w:p>
      <w:pPr>
        <w:ind w:left="1620" w:righ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following the Acquisition, and without taking into account the PIPE Preferred Shares and the Private Placement Warrants, each as defined in Note 12A below, the Company’s stockholders prior to the Acquisition owned approximate 55% the Company and APT’s stockholders prior to the Acquisition owned approximately 45% of the Company.</w:t>
      </w:r>
    </w:p>
    <w:p>
      <w:pPr>
        <w:spacing w:after="0" w:line="175" w:lineRule="exact"/>
        <w:rPr>
          <w:rFonts w:ascii="Times New Roman" w:cs="Times New Roman" w:eastAsia="Times New Roman" w:hAnsi="Times New Roman"/>
          <w:sz w:val="18"/>
          <w:szCs w:val="18"/>
          <w:b w:val="1"/>
          <w:bCs w:val="1"/>
          <w:color w:val="auto"/>
        </w:rPr>
      </w:pPr>
    </w:p>
    <w:p>
      <w:pPr>
        <w:ind w:left="1620"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Acquisition-related transaction costs are accounted for as expenses in the period in which the costs are incurred. For the year ended December 31, 2024, the Company incurred transaction costs of $888 which were included in general and administrative expenses in the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1 -</w:t>
      </w:r>
      <w:r>
        <w:rPr>
          <w:sz w:val="20"/>
          <w:szCs w:val="20"/>
          <w:color w:val="auto"/>
        </w:rPr>
        <w:tab/>
      </w:r>
      <w:r>
        <w:rPr>
          <w:rFonts w:ascii="Times New Roman" w:cs="Times New Roman" w:eastAsia="Times New Roman" w:hAnsi="Times New Roman"/>
          <w:sz w:val="17"/>
          <w:szCs w:val="17"/>
          <w:b w:val="1"/>
          <w:bCs w:val="1"/>
          <w:color w:val="auto"/>
        </w:rPr>
        <w:t>GENERAL (Cont.)</w:t>
      </w:r>
    </w:p>
    <w:p>
      <w:pPr>
        <w:spacing w:after="0" w:line="225" w:lineRule="exact"/>
        <w:rPr>
          <w:sz w:val="20"/>
          <w:szCs w:val="20"/>
          <w:color w:val="auto"/>
        </w:rPr>
      </w:pPr>
    </w:p>
    <w:p>
      <w:pPr>
        <w:ind w:left="1620" w:hanging="640"/>
        <w:spacing w:after="0"/>
        <w:tabs>
          <w:tab w:leader="none" w:pos="16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 Agreement (Cont.)</w:t>
      </w:r>
    </w:p>
    <w:p>
      <w:pPr>
        <w:spacing w:after="0" w:line="229" w:lineRule="exact"/>
        <w:rPr>
          <w:rFonts w:ascii="Times New Roman" w:cs="Times New Roman" w:eastAsia="Times New Roman" w:hAnsi="Times New Roman"/>
          <w:sz w:val="18"/>
          <w:szCs w:val="18"/>
          <w:b w:val="1"/>
          <w:bCs w:val="1"/>
          <w:color w:val="auto"/>
        </w:rPr>
      </w:pPr>
    </w:p>
    <w:p>
      <w:pPr>
        <w:ind w:left="162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was accounted for in accordance with Accounting Standards Codification (“ASC”) Topic 805, “Business Combinations,” using the acquisition method of accounting. The Company was identified as the accounting acquirer, based on the evaluation of the following facts and circumstances:</w:t>
      </w:r>
    </w:p>
    <w:p>
      <w:pPr>
        <w:spacing w:after="0" w:line="175" w:lineRule="exact"/>
        <w:rPr>
          <w:rFonts w:ascii="Times New Roman" w:cs="Times New Roman" w:eastAsia="Times New Roman" w:hAnsi="Times New Roman"/>
          <w:sz w:val="18"/>
          <w:szCs w:val="18"/>
          <w:b w:val="1"/>
          <w:bCs w:val="1"/>
          <w:color w:val="auto"/>
        </w:rPr>
      </w:pPr>
    </w:p>
    <w:p>
      <w:pPr>
        <w:jc w:val="both"/>
        <w:ind w:left="1960" w:right="240" w:hanging="332"/>
        <w:spacing w:after="0" w:line="266"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the post-Acquisition board of directors of the Company consists of seven directors, out of which the Company designated four board seats, with the Company’s chair of the board prior to the Acquisition continuing in his position, i.e. the majority of the post-closing board was designated by the Company.</w:t>
      </w:r>
    </w:p>
    <w:p>
      <w:pPr>
        <w:spacing w:after="0" w:line="175" w:lineRule="exact"/>
        <w:rPr>
          <w:rFonts w:ascii="Times New Roman" w:cs="Times New Roman" w:eastAsia="Times New Roman" w:hAnsi="Times New Roman"/>
          <w:sz w:val="18"/>
          <w:szCs w:val="18"/>
          <w:color w:val="auto"/>
        </w:rPr>
      </w:pPr>
    </w:p>
    <w:p>
      <w:pPr>
        <w:ind w:left="1960" w:right="700" w:hanging="332"/>
        <w:spacing w:after="0" w:line="282"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and the majority of management roles are held by individuals who were affiliated with the Company prior to the Acquisition.</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ind w:left="980" w:right="280"/>
        <w:spacing w:after="0" w:line="312" w:lineRule="auto"/>
        <w:rPr>
          <w:sz w:val="20"/>
          <w:szCs w:val="20"/>
          <w:color w:val="auto"/>
        </w:rPr>
      </w:pPr>
      <w:r>
        <w:rPr>
          <w:rFonts w:ascii="Times New Roman" w:cs="Times New Roman" w:eastAsia="Times New Roman" w:hAnsi="Times New Roman"/>
          <w:sz w:val="17"/>
          <w:szCs w:val="17"/>
          <w:color w:val="auto"/>
        </w:rPr>
        <w:t>The following sets forth the fair value of acquired identifiable assets and assumed liabilities of APT, after considering measurement period adjustment as described below, which includes adjustments to reflect the fair value of intangible assets acquired as of March 15,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3,748</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7,953</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IPR&amp;D assets and Goodwill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16,088</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Operating lease liability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Times New Roman" w:cs="Times New Roman" w:eastAsia="Times New Roman" w:hAnsi="Times New Roman"/>
          <w:sz w:val="18"/>
          <w:szCs w:val="18"/>
          <w:color w:val="auto"/>
        </w:rPr>
        <w:t>(3,667)</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(2,895)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(7,819)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(14,381)</w:t>
      </w:r>
    </w:p>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43180</wp:posOffset>
            </wp:positionV>
            <wp:extent cx="70294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720"/>
            <w:col w:w="660"/>
          </w:cols>
          <w:pgMar w:left="320" w:top="873" w:right="339" w:bottom="1440" w:gutter="0" w:footer="0" w:header="0"/>
          <w:type w:val="continuous"/>
        </w:sectPr>
      </w:pPr>
    </w:p>
    <w:p>
      <w:pPr>
        <w:spacing w:after="0" w:line="93" w:lineRule="exact"/>
        <w:rPr>
          <w:sz w:val="20"/>
          <w:szCs w:val="20"/>
          <w:color w:val="auto"/>
        </w:rPr>
      </w:pPr>
    </w:p>
    <w:p>
      <w:pPr>
        <w:ind w:left="980" w:right="80"/>
        <w:spacing w:after="0" w:line="282" w:lineRule="auto"/>
        <w:rPr>
          <w:sz w:val="20"/>
          <w:szCs w:val="20"/>
          <w:color w:val="auto"/>
        </w:rPr>
      </w:pPr>
      <w:r>
        <w:rPr>
          <w:rFonts w:ascii="Times New Roman" w:cs="Times New Roman" w:eastAsia="Times New Roman" w:hAnsi="Times New Roman"/>
          <w:sz w:val="18"/>
          <w:szCs w:val="18"/>
          <w:color w:val="auto"/>
        </w:rPr>
        <w:t>The fair value estimate for all identifiable assets and liabilities assumed is based on assumptions that market participants would use in pricing an asset, based on the most advantageous market for the asset (i.e., its highest and best use).</w:t>
      </w:r>
    </w:p>
    <w:p>
      <w:pPr>
        <w:spacing w:after="0" w:line="162" w:lineRule="exact"/>
        <w:rPr>
          <w:sz w:val="20"/>
          <w:szCs w:val="20"/>
          <w:color w:val="auto"/>
        </w:rPr>
      </w:pPr>
    </w:p>
    <w:p>
      <w:pPr>
        <w:ind w:left="980" w:right="200"/>
        <w:spacing w:after="0" w:line="258" w:lineRule="auto"/>
        <w:rPr>
          <w:sz w:val="20"/>
          <w:szCs w:val="20"/>
          <w:color w:val="auto"/>
        </w:rPr>
      </w:pPr>
      <w:r>
        <w:rPr>
          <w:rFonts w:ascii="Times New Roman" w:cs="Times New Roman" w:eastAsia="Times New Roman" w:hAnsi="Times New Roman"/>
          <w:sz w:val="18"/>
          <w:szCs w:val="18"/>
          <w:color w:val="auto"/>
        </w:rPr>
        <w:t>The Company recognized intangible assets related to the Acquisition, which consist of IPR&amp;D valued at $15,287 using the Multi-Period Excess Earnings Method valuation method and of goodwill valued at $501. The goodwill is primarily attributed to the expected synergies from combining the operations of APT with the Company’s operations and to the assembled workforce of APT. The IPR&amp;D is considered indefinite lived until the completion or abandonment of the associated research and development efforts. Upon successful completion of the project, IPR&amp;D assets are reclassified to developed technology and amortized over their estimated useful lives.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1 -</w:t>
      </w:r>
      <w:r>
        <w:rPr>
          <w:sz w:val="20"/>
          <w:szCs w:val="20"/>
          <w:color w:val="auto"/>
        </w:rPr>
        <w:tab/>
      </w:r>
      <w:r>
        <w:rPr>
          <w:rFonts w:ascii="Times New Roman" w:cs="Times New Roman" w:eastAsia="Times New Roman" w:hAnsi="Times New Roman"/>
          <w:sz w:val="17"/>
          <w:szCs w:val="17"/>
          <w:b w:val="1"/>
          <w:bCs w:val="1"/>
          <w:color w:val="auto"/>
        </w:rPr>
        <w:t>GENERAL (Cont.)</w:t>
      </w:r>
    </w:p>
    <w:p>
      <w:pPr>
        <w:spacing w:after="0" w:line="225" w:lineRule="exact"/>
        <w:rPr>
          <w:sz w:val="20"/>
          <w:szCs w:val="20"/>
          <w:color w:val="auto"/>
        </w:rPr>
      </w:pPr>
    </w:p>
    <w:p>
      <w:pPr>
        <w:ind w:left="1620" w:hanging="640"/>
        <w:spacing w:after="0"/>
        <w:tabs>
          <w:tab w:leader="none" w:pos="16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 Agreement (Cont.)</w:t>
      </w:r>
    </w:p>
    <w:p>
      <w:pPr>
        <w:spacing w:after="0" w:line="229" w:lineRule="exact"/>
        <w:rPr>
          <w:sz w:val="20"/>
          <w:szCs w:val="20"/>
          <w:color w:val="auto"/>
        </w:rPr>
      </w:pPr>
    </w:p>
    <w:p>
      <w:pPr>
        <w:ind w:left="980" w:right="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made a measurement period adjustment to the purchase price allocation, which resulted in an increase to goodwill of $300. The increase resulted from a provision for a contingency not provided in the initial purchase price allocation, following a settlement agreement between APT and Oyster Point Pharma, Inc. (“Oyster”) in connection with the Collaboration and Option Agreement signed in May 2021 as discussed in Note 8A. The fair value of assets acquired and liabilities assumed have been finalized. See Note 11 for further information regarding the impairment recorded for the IPR&amp;D and goodwill.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These intangible assets are classified as Level 3 measurements within the fair value hierarchy.</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consideration transferred to APT shareholders for the Acquisition:</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10020" w:type="dxa"/>
            <w:vAlign w:val="bottom"/>
          </w:tcPr>
          <w:p>
            <w:pPr>
              <w:spacing w:after="0"/>
              <w:rPr>
                <w:sz w:val="24"/>
                <w:szCs w:val="24"/>
                <w:color w:val="auto"/>
              </w:rPr>
            </w:pP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Shares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12,610</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Warrants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15,851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980" w:right="100"/>
        <w:spacing w:after="0" w:line="256" w:lineRule="auto"/>
        <w:rPr>
          <w:sz w:val="20"/>
          <w:szCs w:val="20"/>
          <w:color w:val="auto"/>
        </w:rPr>
      </w:pPr>
      <w:r>
        <w:rPr>
          <w:rFonts w:ascii="Times New Roman" w:cs="Times New Roman" w:eastAsia="Times New Roman" w:hAnsi="Times New Roman"/>
          <w:sz w:val="18"/>
          <w:szCs w:val="18"/>
          <w:color w:val="auto"/>
        </w:rPr>
        <w:t>The fair value of shares of Common Stock issued by the Company was determined using the Company’s closing trading price on the Closing Date adjusted by a discount for lack of marketability (“DLOM”) of 9.4% as a registration statement was filed within 45 days. The fair value of Redeemable Convertible Preferred Shares was determined using the Company’s closing trading price on the Closing Date adjusted by a DLOM of 14.9% as the conversion of the Redeemable Convertible Preferred Shares to shares of Common Stock was subject to the stockholder approval, which was obtained on July 9, 2024. The Company determined the fair value of the Merger Warrants using the Black-Scholes model as of the Closing Date. The main assumptions used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value of Common Stock ($)</w:t>
            </w:r>
          </w:p>
        </w:tc>
        <w:tc>
          <w:tcPr>
            <w:tcW w:w="4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w:t>
            </w:r>
          </w:p>
        </w:tc>
        <w:tc>
          <w:tcPr>
            <w:tcW w:w="4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4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4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4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bl>
    <w:p>
      <w:pPr>
        <w:spacing w:after="0" w:line="198" w:lineRule="exact"/>
        <w:rPr>
          <w:sz w:val="20"/>
          <w:szCs w:val="20"/>
          <w:color w:val="auto"/>
        </w:rPr>
      </w:pPr>
    </w:p>
    <w:p>
      <w:pPr>
        <w:ind w:left="980" w:right="600"/>
        <w:spacing w:after="0" w:line="282" w:lineRule="auto"/>
        <w:rPr>
          <w:sz w:val="20"/>
          <w:szCs w:val="20"/>
          <w:color w:val="auto"/>
        </w:rPr>
      </w:pPr>
      <w:r>
        <w:rPr>
          <w:rFonts w:ascii="Times New Roman" w:cs="Times New Roman" w:eastAsia="Times New Roman" w:hAnsi="Times New Roman"/>
          <w:sz w:val="18"/>
          <w:szCs w:val="18"/>
          <w:color w:val="auto"/>
        </w:rPr>
        <w:t>The actual APT net loss included in the Company’s consolidated statements of operations for the year ended December 31, 2024,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APT*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impairments loss related to goodwill, IPR&amp;D and long-lived assets of $801, $3,237 and $4,046, respectively.</w:t>
      </w:r>
    </w:p>
    <w:p>
      <w:pPr>
        <w:spacing w:after="0" w:line="225"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unaudited pro forma financial information below summarizes the combined results of operations for BiomX Inc. (including its wholly owned subsidiaries, BiomX Israel and RondinX Ltd.) and APT. The unaudited pro forma financial information includes adjustments to reflect certain business combination effects, including: acquisition-related costs incurred by both parties and reversal of certain costs incurred by BiomX Inc. which would not have been incurred had the acquisition occurred on January 1, 2024. The unaudited pro forma financial information as presented below is for informational purposes only and is not necessarily indicative of the results of operations that would have been achieved if the Acquisition had taken place at the beginning of fiscal 2024.</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certain pro forma financial information for the year ended December 31, 2025, as if the Acquisition occurred on January 1, 2024:</w:t>
      </w:r>
    </w:p>
    <w:p>
      <w:pPr>
        <w:spacing w:after="0" w:line="158"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5460" w:right="4200" w:hanging="5452"/>
        <w:spacing w:after="0" w:line="783" w:lineRule="auto"/>
        <w:tabs>
          <w:tab w:leader="none" w:pos="3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amounts above are derived from historical numbers of the Company and APT. 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24"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9" w:lineRule="exact"/>
        <w:rPr>
          <w:sz w:val="20"/>
          <w:szCs w:val="20"/>
          <w:color w:val="auto"/>
        </w:rPr>
      </w:pPr>
    </w:p>
    <w:p>
      <w:pPr>
        <w:ind w:left="980" w:right="180"/>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on a consistent basis, are as follows, except for the adoption of new accounting standards:</w:t>
      </w:r>
    </w:p>
    <w:p>
      <w:pPr>
        <w:spacing w:after="0" w:line="158" w:lineRule="exact"/>
        <w:rPr>
          <w:sz w:val="20"/>
          <w:szCs w:val="20"/>
          <w:color w:val="auto"/>
        </w:rPr>
      </w:pPr>
    </w:p>
    <w:p>
      <w:pPr>
        <w:ind w:left="1620" w:hanging="640"/>
        <w:spacing w:after="0"/>
        <w:tabs>
          <w:tab w:leader="none" w:pos="16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rFonts w:ascii="Times New Roman" w:cs="Times New Roman" w:eastAsia="Times New Roman" w:hAnsi="Times New Roman"/>
          <w:sz w:val="18"/>
          <w:szCs w:val="18"/>
          <w:b w:val="1"/>
          <w:bCs w:val="1"/>
          <w:color w:val="auto"/>
        </w:rPr>
      </w:pPr>
    </w:p>
    <w:p>
      <w:pPr>
        <w:ind w:left="162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and include the accounts of the Company and its wholly owned subsidiaries, BiomX Israel, APT and RondinX Ltd., through the date of the voluntary liquidation of RondinX Ltd. on December 3, 2025. All intercompany accounts and transactions have been eliminated in consolidation.</w:t>
      </w:r>
    </w:p>
    <w:p>
      <w:pPr>
        <w:spacing w:after="0" w:line="175"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rFonts w:ascii="Times New Roman" w:cs="Times New Roman" w:eastAsia="Times New Roman" w:hAnsi="Times New Roman"/>
          <w:sz w:val="18"/>
          <w:szCs w:val="18"/>
          <w:b w:val="1"/>
          <w:bCs w:val="1"/>
          <w:color w:val="auto"/>
        </w:rPr>
      </w:pPr>
    </w:p>
    <w:p>
      <w:pPr>
        <w:ind w:left="162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in the financial statements and the amounts of expenses during the reported years. The most significant estimates in the Company’s financial statements relate to accruals for research and development expenses, business combination, warrants fair value revaluation and estimates used in the IPR&amp;D impairment assessment for calculating the fair value of the Company’s assets. These estimates and assumptions are based on current facts, future expectations,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187"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 and foreign currency translation</w:t>
      </w:r>
    </w:p>
    <w:p>
      <w:pPr>
        <w:spacing w:after="0" w:line="229" w:lineRule="exact"/>
        <w:rPr>
          <w:rFonts w:ascii="Times New Roman" w:cs="Times New Roman" w:eastAsia="Times New Roman" w:hAnsi="Times New Roman"/>
          <w:sz w:val="18"/>
          <w:szCs w:val="18"/>
          <w:b w:val="1"/>
          <w:bCs w:val="1"/>
          <w:color w:val="auto"/>
        </w:rPr>
      </w:pPr>
    </w:p>
    <w:p>
      <w:pPr>
        <w:ind w:left="1620" w:right="1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functional currency of the Company is the U.S. dollar (“USD”) since the dollar is the currency of the primary economic environment in which the Company has operated and expects to continue to operate in the foreseeable future. Transactions and balances originally denominated USD are presented at their original amounts. Balances in non-USD currencies are translated into USDs using historical and current exchange rates for non-monetary and monetary balances, respectively. For non-USD transactions and other items in the consolidated statements of operations (indicated below), the following exchange rates are used: (i) for transactions – exchange rates at transaction dates or average exchange rates; and (ii) for other items (derived from non-monetary balance sheet items such as depreciation and amortization) – historical exchange rates. Currency transaction gains and losses are presented in financial expense (income), net as appropriate.</w:t>
      </w:r>
    </w:p>
    <w:p>
      <w:pPr>
        <w:spacing w:after="0" w:line="187"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rFonts w:ascii="Times New Roman" w:cs="Times New Roman" w:eastAsia="Times New Roman" w:hAnsi="Times New Roman"/>
          <w:sz w:val="18"/>
          <w:szCs w:val="18"/>
          <w:b w:val="1"/>
          <w:bCs w:val="1"/>
          <w:color w:val="auto"/>
        </w:rPr>
      </w:pPr>
    </w:p>
    <w:p>
      <w:pPr>
        <w:ind w:left="16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cash equivalents to be all short-term, highly liquid investments, which include money market funds, that are not restricted as to withdrawal or use and are readily convertible to known amounts of cash. Restricted cash consists of bank guarantee due to rental agreement and as of December 31, 2024, funds that were contractually restricted to a credit line for outstanding short-term foreign exchange contracts. The Company has presented restricted cash separately from cash and cash equivalents on the consolidated balance sheets. The Company includes its restricted bank deposits in cash and cash equivalents when reconciling beginning-of-period and end-of-period total amounts shown on the consolidated statement of cash flows.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1620" w:hanging="640"/>
        <w:spacing w:after="0"/>
        <w:tabs>
          <w:tab w:leader="none" w:pos="16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rFonts w:ascii="Times New Roman" w:cs="Times New Roman" w:eastAsia="Times New Roman" w:hAnsi="Times New Roman"/>
          <w:sz w:val="18"/>
          <w:szCs w:val="18"/>
          <w:b w:val="1"/>
          <w:bCs w:val="1"/>
          <w:color w:val="auto"/>
        </w:rPr>
      </w:pPr>
    </w:p>
    <w:p>
      <w:pPr>
        <w:ind w:left="162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which potentially subject us to credit risk consist primarily of cash and cash equivalents. These amounts at times may exceed federally insured limits. We have not experienced any credit losses in such accounts and do not believe we are exposed to any significant credit risk on these funds. Most of the Company’s cash and cash equivalents and bank deposits are invested in major banks in the U.S. and Israel. Management believes that the credit risk with respect to the financial institutions that hold the Company’s cash and cash equivalents and bank deposits is low. Refer to note 2J.</w:t>
      </w:r>
    </w:p>
    <w:p>
      <w:pPr>
        <w:spacing w:after="0" w:line="179"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rFonts w:ascii="Times New Roman" w:cs="Times New Roman" w:eastAsia="Times New Roman" w:hAnsi="Times New Roman"/>
          <w:sz w:val="18"/>
          <w:szCs w:val="18"/>
          <w:b w:val="1"/>
          <w:bCs w:val="1"/>
          <w:color w:val="auto"/>
        </w:rPr>
      </w:pPr>
    </w:p>
    <w:p>
      <w:pPr>
        <w:ind w:left="162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related assets or terms of the related leases,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76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Lives</w:t>
            </w:r>
          </w:p>
        </w:tc>
      </w:tr>
      <w:tr>
        <w:trPr>
          <w:trHeight w:val="216"/>
        </w:trPr>
        <w:tc>
          <w:tcPr>
            <w:tcW w:w="876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furniture</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Shorter of lease term or useful life</w:t>
            </w:r>
          </w:p>
        </w:tc>
      </w:tr>
    </w:tbl>
    <w:p>
      <w:pPr>
        <w:spacing w:after="0" w:line="175" w:lineRule="exact"/>
        <w:rPr>
          <w:sz w:val="20"/>
          <w:szCs w:val="20"/>
          <w:color w:val="auto"/>
        </w:rPr>
      </w:pPr>
    </w:p>
    <w:p>
      <w:pPr>
        <w:ind w:left="1620" w:hanging="640"/>
        <w:spacing w:after="0"/>
        <w:tabs>
          <w:tab w:leader="none" w:pos="16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long-lived asset impairment</w:t>
      </w:r>
    </w:p>
    <w:p>
      <w:pPr>
        <w:spacing w:after="0" w:line="229" w:lineRule="exact"/>
        <w:rPr>
          <w:rFonts w:ascii="Times New Roman" w:cs="Times New Roman" w:eastAsia="Times New Roman" w:hAnsi="Times New Roman"/>
          <w:sz w:val="18"/>
          <w:szCs w:val="18"/>
          <w:b w:val="1"/>
          <w:bCs w:val="1"/>
          <w:color w:val="auto"/>
        </w:rPr>
      </w:pPr>
    </w:p>
    <w:p>
      <w:pPr>
        <w:ind w:left="162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360-10, “Impairment and Disposal of Long-Lived Assets”, management reviews long-lived assets for impairment whenever events or changes in circumstances indicate that the carrying amount of an asset may not be recoverable based on estimated future undiscounted cash flows. If so indicated, an impairment loss would be recognized for the difference between the carrying amount of the asset and its fair value. See Note 11 for information regarding impairment charges recognized during the years ended December 31, 2025 and 2024.</w:t>
      </w:r>
    </w:p>
    <w:p>
      <w:pPr>
        <w:spacing w:after="0" w:line="179"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162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income taxes using the asset and liability approach. Deferred tax assets and liabilities are recorded based on the differences between the financial statement and tax basis of assets and liabilities and the tax rates in effect when these differences are expected to reverse. Deferred tax assets are reduced by a valuation allowance if, based on the weight of available evidence, it is more likely than not that some or all the deferred tax assets will not be realized. As of December 31, 2025 and 2024, the Company had a full valuation allowance against deferred tax assets.</w:t>
      </w:r>
    </w:p>
    <w:p>
      <w:pPr>
        <w:spacing w:after="0" w:line="183" w:lineRule="exact"/>
        <w:rPr>
          <w:rFonts w:ascii="Times New Roman" w:cs="Times New Roman" w:eastAsia="Times New Roman" w:hAnsi="Times New Roman"/>
          <w:sz w:val="18"/>
          <w:szCs w:val="18"/>
          <w:b w:val="1"/>
          <w:bCs w:val="1"/>
          <w:color w:val="auto"/>
        </w:rPr>
      </w:pPr>
    </w:p>
    <w:p>
      <w:pPr>
        <w:ind w:left="162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the provisions of ASC 740-10-25, “Income Taxes” (“ASC 740”). ASC 740 prescribes a more likely-than-not threshold for the financial statement recognition of uncertain tax positions. ASC 740 clarifies the accounting for income taxes by prescribing a minimum recognition threshold and measurement attribute for the financial statement recognition and measurement of a tax position taken or expected to be taken in a tax return. On a yearly basis, the Company undergoes a process to evaluate whether income tax accruals are in accordance with ASC 740 guidance on uncertain tax positions. The Company has not recorded any liability for uncertain tax positions for the years ended December 31, 2025 and 2024. The Company presents unrecognized tax benefits as a reduction to deferred tax asset where a net operating loss, a similar tax loss, or a tax credit carryforward that are available, under the tax law of the applicable jurisdiction, to offset any additional income taxes that would result from the settlement of a tax position.</w:t>
      </w:r>
    </w:p>
    <w:p>
      <w:pPr>
        <w:spacing w:after="0" w:line="184"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activity</w:t>
      </w:r>
    </w:p>
    <w:p>
      <w:pPr>
        <w:spacing w:after="0" w:line="229" w:lineRule="exact"/>
        <w:rPr>
          <w:rFonts w:ascii="Times New Roman" w:cs="Times New Roman" w:eastAsia="Times New Roman" w:hAnsi="Times New Roman"/>
          <w:sz w:val="18"/>
          <w:szCs w:val="18"/>
          <w:b w:val="1"/>
          <w:bCs w:val="1"/>
          <w:color w:val="auto"/>
        </w:rPr>
      </w:pPr>
    </w:p>
    <w:p>
      <w:pPr>
        <w:ind w:left="1620" w:right="1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foreign exchange contracts (option and forward contracts) to hedge cash flows from currency exposure. These foreign exchange contracts are not designated as hedging instruments for accounting purposes. In connection with these foreign exchange contracts, the Company recognizes gains or losses that offset the revaluation of the cash flows also recorded under financial expenses (income), net in the consolidated statements of operations. The Company recognizes these derivative instruments as either assets or liabilities in the consolidated balance sheets at their fair value. Derivatives in a gain position are reported in other current assets in the consolidated balance sheets and derivatives in a loss position are recorded as other current liabilities in the consolidated balance sheets. As of December 31, 2025, the Company had no outstanding foreign exchange contracts. As of December 31, 2024, the Company had outstanding short-term foreign exchange contracts for the exchange of USD to NIS in the amount of approximately $2,413 with a fair value asset of $19.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09"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1620" w:hanging="640"/>
        <w:spacing w:after="0"/>
        <w:tabs>
          <w:tab w:leader="none" w:pos="16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ind w:left="1620" w:right="1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financial instruments in accordance with ASC 820, “Fair Value Measurements and Disclosures”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83" w:lineRule="exact"/>
        <w:rPr>
          <w:rFonts w:ascii="Times New Roman" w:cs="Times New Roman" w:eastAsia="Times New Roman" w:hAnsi="Times New Roman"/>
          <w:sz w:val="18"/>
          <w:szCs w:val="18"/>
          <w:b w:val="1"/>
          <w:bCs w:val="1"/>
          <w:color w:val="auto"/>
        </w:rPr>
      </w:pPr>
    </w:p>
    <w:p>
      <w:pPr>
        <w:ind w:left="162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61" w:lineRule="exact"/>
        <w:rPr>
          <w:rFonts w:ascii="Times New Roman" w:cs="Times New Roman" w:eastAsia="Times New Roman" w:hAnsi="Times New Roman"/>
          <w:sz w:val="18"/>
          <w:szCs w:val="18"/>
          <w:b w:val="1"/>
          <w:bCs w:val="1"/>
          <w:color w:val="auto"/>
        </w:rPr>
      </w:pPr>
    </w:p>
    <w:p>
      <w:pPr>
        <w:ind w:left="1620" w:righ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 Quoted prices in non-active markets or in active markets for similar assets or liabilities, observable inputs other than quoted prices, and inputs that are not directly observable but are corroborated by observable market data.</w:t>
      </w:r>
    </w:p>
    <w:p>
      <w:pPr>
        <w:spacing w:after="0" w:line="161" w:lineRule="exact"/>
        <w:rPr>
          <w:rFonts w:ascii="Times New Roman" w:cs="Times New Roman" w:eastAsia="Times New Roman" w:hAnsi="Times New Roman"/>
          <w:sz w:val="18"/>
          <w:szCs w:val="18"/>
          <w:b w:val="1"/>
          <w:bCs w:val="1"/>
          <w:color w:val="auto"/>
        </w:rPr>
      </w:pPr>
    </w:p>
    <w:p>
      <w:pPr>
        <w:ind w:left="1620" w:right="82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 There were no changes in the fair value hierarchy levelling during the years ended December 31, 2025 and 2024.</w:t>
      </w:r>
    </w:p>
    <w:p>
      <w:pPr>
        <w:spacing w:after="0" w:line="1" w:lineRule="exact"/>
        <w:rPr>
          <w:rFonts w:ascii="Times New Roman" w:cs="Times New Roman" w:eastAsia="Times New Roman" w:hAnsi="Times New Roman"/>
          <w:sz w:val="18"/>
          <w:szCs w:val="18"/>
          <w:b w:val="1"/>
          <w:bCs w:val="1"/>
          <w:color w:val="auto"/>
        </w:rPr>
      </w:pPr>
    </w:p>
    <w:p>
      <w:pPr>
        <w:ind w:left="1620" w:righ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fair value of our financial assets and liabilities that were accounted for at fair value on a recurring basis, by level within the fair value hierarchy: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7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3,084</w:t>
            </w:r>
          </w:p>
        </w:tc>
      </w:tr>
      <w:tr>
        <w:trPr>
          <w:trHeight w:val="236"/>
        </w:trPr>
        <w:tc>
          <w:tcPr>
            <w:tcW w:w="4220" w:type="dxa"/>
            <w:vAlign w:val="bottom"/>
          </w:tcPr>
          <w:p>
            <w:pPr>
              <w:spacing w:after="0"/>
              <w:rPr>
                <w:sz w:val="20"/>
                <w:szCs w:val="20"/>
                <w:color w:val="auto"/>
              </w:rPr>
            </w:pPr>
          </w:p>
        </w:tc>
        <w:tc>
          <w:tcPr>
            <w:tcW w:w="3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3,084</w:t>
            </w: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23"/>
        </w:trPr>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53"/>
        </w:trPr>
        <w:tc>
          <w:tcPr>
            <w:tcW w:w="4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7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12,251</w:t>
            </w:r>
          </w:p>
        </w:tc>
      </w:tr>
      <w:tr>
        <w:trPr>
          <w:trHeight w:val="237"/>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exchange contracts receivable</w:t>
            </w:r>
          </w:p>
        </w:tc>
        <w:tc>
          <w:tcPr>
            <w:tcW w:w="3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422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12,251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Liabilities:</w:t>
            </w: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37"/>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3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2,287</w:t>
            </w:r>
          </w:p>
        </w:tc>
      </w:tr>
      <w:tr>
        <w:trPr>
          <w:trHeight w:val="223"/>
        </w:trPr>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55"/>
        </w:trPr>
        <w:tc>
          <w:tcPr>
            <w:tcW w:w="4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1560"/>
              <w:spacing w:after="0"/>
              <w:rPr>
                <w:sz w:val="20"/>
                <w:szCs w:val="20"/>
                <w:color w:val="auto"/>
              </w:rPr>
            </w:pPr>
            <w:r>
              <w:rPr>
                <w:rFonts w:ascii="Times New Roman" w:cs="Times New Roman" w:eastAsia="Times New Roman" w:hAnsi="Times New Roman"/>
                <w:sz w:val="18"/>
                <w:szCs w:val="18"/>
                <w:color w:val="auto"/>
              </w:rPr>
              <w:t>F-16</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1620" w:hanging="640"/>
        <w:spacing w:after="0"/>
        <w:tabs>
          <w:tab w:leader="none" w:pos="16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w:t>
      </w:r>
    </w:p>
    <w:p>
      <w:pPr>
        <w:spacing w:after="0" w:line="229" w:lineRule="exact"/>
        <w:rPr>
          <w:sz w:val="20"/>
          <w:szCs w:val="20"/>
          <w:color w:val="auto"/>
        </w:rPr>
      </w:pPr>
    </w:p>
    <w:p>
      <w:pPr>
        <w:ind w:left="980" w:right="240"/>
        <w:spacing w:after="0" w:line="282" w:lineRule="auto"/>
        <w:rPr>
          <w:sz w:val="20"/>
          <w:szCs w:val="20"/>
          <w:color w:val="auto"/>
        </w:rPr>
      </w:pPr>
      <w:r>
        <w:rPr>
          <w:rFonts w:ascii="Times New Roman" w:cs="Times New Roman" w:eastAsia="Times New Roman" w:hAnsi="Times New Roman"/>
          <w:sz w:val="18"/>
          <w:szCs w:val="18"/>
          <w:color w:val="auto"/>
        </w:rPr>
        <w:t>Financial instruments with carrying values approximating fair value include cash and cash equivalents, restricted cash, other current assets, trade accounts payable and other current liabilities, due to their short-term nature.</w:t>
      </w:r>
    </w:p>
    <w:p>
      <w:pPr>
        <w:spacing w:after="0" w:line="162" w:lineRule="exact"/>
        <w:rPr>
          <w:sz w:val="20"/>
          <w:szCs w:val="20"/>
          <w:color w:val="auto"/>
        </w:rPr>
      </w:pPr>
    </w:p>
    <w:p>
      <w:pPr>
        <w:ind w:left="1620" w:right="260" w:hanging="316"/>
        <w:spacing w:after="0" w:line="282"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the fair value of the liabilities for the Warrants using the Black-Scholes model, a Level 3 measurement, within the fair value hierarchy.</w:t>
      </w:r>
    </w:p>
    <w:p>
      <w:pPr>
        <w:spacing w:after="0" w:line="16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assumptions used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44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value of Common Stock ($)</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17.68-43.91</w:t>
            </w: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43.91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126.46-141.48</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0.52-4.31</w:t>
            </w: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3.59-3.66</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1240" w:type="dxa"/>
            <w:vAlign w:val="bottom"/>
            <w:gridSpan w:val="8"/>
          </w:tcPr>
          <w:p>
            <w:pPr>
              <w:ind w:left="1620"/>
              <w:spacing w:after="0"/>
              <w:rPr>
                <w:sz w:val="20"/>
                <w:szCs w:val="20"/>
                <w:color w:val="auto"/>
              </w:rPr>
            </w:pPr>
            <w:r>
              <w:rPr>
                <w:rFonts w:ascii="Times New Roman" w:cs="Times New Roman" w:eastAsia="Times New Roman" w:hAnsi="Times New Roman"/>
                <w:sz w:val="18"/>
                <w:szCs w:val="18"/>
                <w:color w:val="auto"/>
              </w:rPr>
              <w:t>The changes in the fair value of the Company’s Warrants which are measured as Level 3 and on a recurring basis are as follows:</w:t>
            </w:r>
          </w:p>
        </w:tc>
      </w:tr>
      <w:tr>
        <w:trPr>
          <w:trHeight w:val="410"/>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440" w:type="dxa"/>
            <w:vAlign w:val="bottom"/>
          </w:tcPr>
          <w:p>
            <w:pPr>
              <w:spacing w:after="0"/>
              <w:rPr>
                <w:sz w:val="21"/>
                <w:szCs w:val="21"/>
                <w:color w:val="auto"/>
              </w:rPr>
            </w:pPr>
          </w:p>
        </w:tc>
        <w:tc>
          <w:tcPr>
            <w:tcW w:w="12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Private Placement Warrants</w:t>
            </w: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28,745</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Warrants</w:t>
            </w:r>
          </w:p>
        </w:tc>
        <w:tc>
          <w:tcPr>
            <w:tcW w:w="1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Repricing of warrants under the Inducement Letter Agreements (*)</w:t>
            </w: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Warrants exercise</w:t>
            </w:r>
          </w:p>
        </w:tc>
        <w:tc>
          <w:tcPr>
            <w:tcW w:w="14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(9,411)</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(26,458)</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 and exercise of the warrants under the Inducement Letter Agreements, which was charged to profit and loss. See Note 12A for further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1620" w:hanging="640"/>
        <w:spacing w:after="0"/>
        <w:tabs>
          <w:tab w:leader="none" w:pos="16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w:t>
      </w:r>
    </w:p>
    <w:p>
      <w:pPr>
        <w:spacing w:after="0" w:line="229" w:lineRule="exact"/>
        <w:rPr>
          <w:rFonts w:ascii="Times New Roman" w:cs="Times New Roman" w:eastAsia="Times New Roman" w:hAnsi="Times New Roman"/>
          <w:sz w:val="18"/>
          <w:szCs w:val="18"/>
          <w:b w:val="1"/>
          <w:bCs w:val="1"/>
          <w:color w:val="auto"/>
        </w:rPr>
      </w:pPr>
    </w:p>
    <w:p>
      <w:pPr>
        <w:ind w:left="1620" w:right="20" w:hanging="316"/>
        <w:spacing w:after="0" w:line="256" w:lineRule="auto"/>
        <w:tabs>
          <w:tab w:leader="none" w:pos="1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the fair value of the liabilities for the contingent consideration based on a probability discounted cash flow analysis. This fair value measurement is based on significant unobservable inputs in the market and thus represents a Level 3 measurement within the fair value hierarchy. Changes in the fair value of contingent consideration are recorded in consolidated statements of operations. Following BiomX Israel’s filing for the commencement of insolvency proceedings, the Company concluded that the likelihood of achieving the milestones is remote; therefore, the fair value of the contingent consideration is zero. See note 8E for further information.</w:t>
      </w:r>
    </w:p>
    <w:p>
      <w:pPr>
        <w:spacing w:after="0" w:line="187" w:lineRule="exact"/>
        <w:rPr>
          <w:rFonts w:ascii="Times New Roman" w:cs="Times New Roman" w:eastAsia="Times New Roman" w:hAnsi="Times New Roman"/>
          <w:sz w:val="18"/>
          <w:szCs w:val="18"/>
          <w:color w:val="auto"/>
        </w:rPr>
      </w:pPr>
    </w:p>
    <w:p>
      <w:pPr>
        <w:ind w:left="1620" w:right="420" w:hanging="316"/>
        <w:spacing w:after="0" w:line="282" w:lineRule="auto"/>
        <w:tabs>
          <w:tab w:leader="none" w:pos="1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IPR&amp;D and Property and equipment were assessed for impairment and measured at fair value, as described in Note 11 below.</w:t>
      </w:r>
    </w:p>
    <w:p>
      <w:pPr>
        <w:spacing w:after="0" w:line="157"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Israeli employment laws, employees of BiomX Israel are included under Section 14 of the Severance Compensation Act,</w:t>
      </w:r>
    </w:p>
    <w:p>
      <w:pPr>
        <w:spacing w:after="0" w:line="27" w:lineRule="exact"/>
        <w:rPr>
          <w:rFonts w:ascii="Times New Roman" w:cs="Times New Roman" w:eastAsia="Times New Roman" w:hAnsi="Times New Roman"/>
          <w:sz w:val="18"/>
          <w:szCs w:val="18"/>
          <w:b w:val="1"/>
          <w:bCs w:val="1"/>
          <w:color w:val="auto"/>
        </w:rPr>
      </w:pPr>
    </w:p>
    <w:p>
      <w:pPr>
        <w:ind w:left="1620" w:right="1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1963 (“Section 14”) for a portion of their salaries. Pursuant to Section 14, these employees are entitled to monthly deposits made by the Company on their behalf with insurance companies.</w:t>
      </w:r>
    </w:p>
    <w:p>
      <w:pPr>
        <w:spacing w:after="0" w:line="181" w:lineRule="exact"/>
        <w:rPr>
          <w:rFonts w:ascii="Times New Roman" w:cs="Times New Roman" w:eastAsia="Times New Roman" w:hAnsi="Times New Roman"/>
          <w:sz w:val="18"/>
          <w:szCs w:val="18"/>
          <w:b w:val="1"/>
          <w:bCs w:val="1"/>
          <w:color w:val="auto"/>
        </w:rPr>
      </w:pPr>
    </w:p>
    <w:p>
      <w:pPr>
        <w:ind w:left="16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Payments in accordance with Section 14 release the Company from any future severance payments (under the Israeli Severance Compensation Act, 1963) with respect of those employees. The aforementioned deposits are not recorded as an asset on the Company’s balance sheet, and there is no liability recorded as the Company does not have a future obligation to make any additional payments. The Company’s contributions to the defined contribution plans are charged to the consolidated statements of operations as and when the services are received from the Company’s employees. Total expenses with respect to these contributions were $354 and $389 for the years ended December 31, 2025 and 2024, respectively.</w:t>
      </w:r>
    </w:p>
    <w:p>
      <w:pPr>
        <w:spacing w:after="0" w:line="187" w:lineRule="exact"/>
        <w:rPr>
          <w:rFonts w:ascii="Times New Roman" w:cs="Times New Roman" w:eastAsia="Times New Roman" w:hAnsi="Times New Roman"/>
          <w:sz w:val="18"/>
          <w:szCs w:val="18"/>
          <w:b w:val="1"/>
          <w:bCs w:val="1"/>
          <w:color w:val="auto"/>
        </w:rPr>
      </w:pPr>
    </w:p>
    <w:p>
      <w:pPr>
        <w:ind w:left="162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U.S. employees the Company has a defined contribution savings plan under Section 401(k) of the Internal Revenue Code. This plan covers substantially all employees of BiomX Inc in the U.S. who meet minimum age and service requirements and allows participants to defer a portion of their annual compensation on a pre-tax basis.</w:t>
      </w:r>
    </w:p>
    <w:p>
      <w:pPr>
        <w:spacing w:after="0" w:line="175" w:lineRule="exact"/>
        <w:rPr>
          <w:rFonts w:ascii="Times New Roman" w:cs="Times New Roman" w:eastAsia="Times New Roman" w:hAnsi="Times New Roman"/>
          <w:sz w:val="18"/>
          <w:szCs w:val="18"/>
          <w:b w:val="1"/>
          <w:bCs w:val="1"/>
          <w:color w:val="auto"/>
        </w:rPr>
      </w:pPr>
    </w:p>
    <w:p>
      <w:pPr>
        <w:ind w:left="1620"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not elected to match any of the employees’ deferral. During the years ended December 31, 2025 and 2024 the Company did not record any expenses for 401(k) match contributions.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1620" w:hanging="640"/>
        <w:spacing w:after="0"/>
        <w:tabs>
          <w:tab w:leader="none" w:pos="16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rFonts w:ascii="Times New Roman" w:cs="Times New Roman" w:eastAsia="Times New Roman" w:hAnsi="Times New Roman"/>
          <w:sz w:val="18"/>
          <w:szCs w:val="18"/>
          <w:b w:val="1"/>
          <w:bCs w:val="1"/>
          <w:color w:val="auto"/>
        </w:rPr>
      </w:pPr>
    </w:p>
    <w:p>
      <w:pPr>
        <w:ind w:left="162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Company issues freestanding instruments, it first analyzes the provisions of ASC 480, “Distinguishing Liabilities From Equity” (“ASC 480”) in order to determine whether the instrument should be classified as a liability, with subsequent changes in fair value recognized in the consolidated statements of operations in each period. If the instrument is not within the scope of ASC 480, the Company further analyzes the provisions of ASC 815-10 in order to determine whether the instrument is considered indexed to the entity’s own stock and qualifies for classification within equity.</w:t>
      </w:r>
    </w:p>
    <w:p>
      <w:pPr>
        <w:spacing w:after="0" w:line="183" w:lineRule="exact"/>
        <w:rPr>
          <w:rFonts w:ascii="Times New Roman" w:cs="Times New Roman" w:eastAsia="Times New Roman" w:hAnsi="Times New Roman"/>
          <w:sz w:val="18"/>
          <w:szCs w:val="18"/>
          <w:b w:val="1"/>
          <w:bCs w:val="1"/>
          <w:color w:val="auto"/>
        </w:rPr>
      </w:pPr>
    </w:p>
    <w:p>
      <w:pPr>
        <w:ind w:left="162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Company issues preferred shares, it first considers the provisions of ASC 480, in order to determine whether the preferred shares should be classified as a liability. If the instrument is not within the scope of ASC 480, the Company further analyzes the instrument’s characteristics in order to determine whether it should be classified within temporary equity (mezzanine) or within permanent equity in accordance with the provisions of ASC 480-10-S99. The Company reassesses the classification of a contract over its own equity under the guidance above at each balance sheet date. If classification changes as a result of events during the reporting period, the Company reclassifies the contract as of the date of the event that caused the reclassification.</w:t>
      </w:r>
    </w:p>
    <w:p>
      <w:pPr>
        <w:spacing w:after="0" w:line="187" w:lineRule="exact"/>
        <w:rPr>
          <w:rFonts w:ascii="Times New Roman" w:cs="Times New Roman" w:eastAsia="Times New Roman" w:hAnsi="Times New Roman"/>
          <w:sz w:val="18"/>
          <w:szCs w:val="18"/>
          <w:b w:val="1"/>
          <w:bCs w:val="1"/>
          <w:color w:val="auto"/>
        </w:rPr>
      </w:pPr>
    </w:p>
    <w:p>
      <w:pPr>
        <w:ind w:left="162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Company issues warrants, it first considers the provisions of ASC 815-40, “Contracts in Entity’s Own Equity” (“ASC 815-40”) in order to determine whether the warrants should be classified as equity. Equity classification is permitted when warrants are indexed to the Company’s own shares and meet the classification requirements for stockholders’ equity classification under ASC 815-40. If the warrants are not within the scope of ASC 815-40, the Company accounts for the warrants in accordance with the guidance contained in Accounting Standards Codification 815 (“ASC 815”), “Derivatives and Hedging”, under which the warrants do not meet the criteria for equity treatment and must be recorded as derivative liabilities. Accordingly, the Company classifies the Private Placement Warrants as liabilities at their fair value and adjusts the warrants to fair value at each reporting period. This liability is subject to re-measurement at each balance sheet date until the warrants are exercised or expire, and any change in fair value is recognized in the consolidated statements of operations.</w:t>
      </w:r>
    </w:p>
    <w:p>
      <w:pPr>
        <w:spacing w:after="0" w:line="184"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 net</w:t>
      </w:r>
    </w:p>
    <w:p>
      <w:pPr>
        <w:spacing w:after="0" w:line="229" w:lineRule="exact"/>
        <w:rPr>
          <w:rFonts w:ascii="Times New Roman" w:cs="Times New Roman" w:eastAsia="Times New Roman" w:hAnsi="Times New Roman"/>
          <w:sz w:val="18"/>
          <w:szCs w:val="18"/>
          <w:b w:val="1"/>
          <w:bCs w:val="1"/>
          <w:color w:val="auto"/>
        </w:rPr>
      </w:pPr>
    </w:p>
    <w:p>
      <w:pPr>
        <w:ind w:left="162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costs are charged to statements of operations as incurred. Royalty-bearing grants from the Israeli Innovation Authority (“IIA”) and grants from the Medical Technology Enterprise Consortium (“MTEC”) are recognized at the time the Company is entitled to such grants, on the basis of the costs incurred and applied as a deduction from research and development expenses.</w:t>
      </w:r>
    </w:p>
    <w:p>
      <w:pPr>
        <w:spacing w:after="0" w:line="175"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loss per share</w:t>
      </w:r>
    </w:p>
    <w:p>
      <w:pPr>
        <w:spacing w:after="0" w:line="229" w:lineRule="exact"/>
        <w:rPr>
          <w:rFonts w:ascii="Times New Roman" w:cs="Times New Roman" w:eastAsia="Times New Roman" w:hAnsi="Times New Roman"/>
          <w:sz w:val="18"/>
          <w:szCs w:val="18"/>
          <w:b w:val="1"/>
          <w:bCs w:val="1"/>
          <w:color w:val="auto"/>
        </w:rPr>
      </w:pPr>
    </w:p>
    <w:p>
      <w:pPr>
        <w:ind w:left="162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net loss by the weighted average number of shares of Common Stock outstanding during the year, fully vested warrants with no exercise price for the Company’s Common Stock and fully vested Pre-Funded Warrants for the Company’s Common Stock at an exercise price of $0.019 per share, as the Company considers these shares to be exercised for little to no additional consideration. The calculation excludes shares of Common Stock purchased by the Company and held as treasury shares. Diluted loss per share is computed by dividing net loss by the weighted average number of shares of Common Stock outstanding during the year, plus the number of shares of Common Stock that would have been outstanding if all potentially dilutive shares of Common Stock had been issued, using the treasury stock method, in accordance with ASC 260-10 “Earnings per Share.”</w:t>
      </w:r>
    </w:p>
    <w:p>
      <w:pPr>
        <w:spacing w:after="0" w:line="191" w:lineRule="exact"/>
        <w:rPr>
          <w:rFonts w:ascii="Times New Roman" w:cs="Times New Roman" w:eastAsia="Times New Roman" w:hAnsi="Times New Roman"/>
          <w:sz w:val="18"/>
          <w:szCs w:val="18"/>
          <w:b w:val="1"/>
          <w:bCs w:val="1"/>
          <w:color w:val="auto"/>
        </w:rPr>
      </w:pPr>
    </w:p>
    <w:p>
      <w:pPr>
        <w:ind w:left="16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computes net loss per share using the two-class method required for participating securities. The two-class method requires income available to common stockholders for the period to be allocated between shares of Common Stock and participating securities based upon their respective rights to receive dividends as if all income for the period had been distributed. The Company considers its Redeemable Convertible Preferred Shares to be participating securities as the holders of the Redeemable Convertible Preferred Shares would be entitled to dividends that would be distributed to the holders of Common Stock, on a pro-rata basis assuming conversion of all Redeemable Convertible Preferred Shares into shares of Common Stock. These participating securities do not contractually require the holders of such shares to participate in the Company’s losses. As such, net loss for the periods presented was not allocated to the Company’s participating securities.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1620" w:hanging="640"/>
        <w:spacing w:after="0"/>
        <w:tabs>
          <w:tab w:leader="none" w:pos="16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w:t>
      </w:r>
    </w:p>
    <w:p>
      <w:pPr>
        <w:spacing w:after="0" w:line="229" w:lineRule="exact"/>
        <w:rPr>
          <w:rFonts w:ascii="Times New Roman" w:cs="Times New Roman" w:eastAsia="Times New Roman" w:hAnsi="Times New Roman"/>
          <w:sz w:val="18"/>
          <w:szCs w:val="18"/>
          <w:b w:val="1"/>
          <w:bCs w:val="1"/>
          <w:color w:val="auto"/>
        </w:rPr>
      </w:pPr>
    </w:p>
    <w:p>
      <w:pPr>
        <w:ind w:left="162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ASC 718-10, “Stock-Based Payment,” (“ASC 718-10”) which requires the measurement and recognition of compensation expenses for all stock-based payment awards made to employees and directors including employee stock options under the Company’s stock plans based on estimated fair values.</w:t>
      </w:r>
    </w:p>
    <w:p>
      <w:pPr>
        <w:spacing w:after="0" w:line="175" w:lineRule="exact"/>
        <w:rPr>
          <w:rFonts w:ascii="Times New Roman" w:cs="Times New Roman" w:eastAsia="Times New Roman" w:hAnsi="Times New Roman"/>
          <w:sz w:val="18"/>
          <w:szCs w:val="18"/>
          <w:b w:val="1"/>
          <w:bCs w:val="1"/>
          <w:color w:val="auto"/>
        </w:rPr>
      </w:pPr>
    </w:p>
    <w:p>
      <w:pPr>
        <w:ind w:left="162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718-10 requires companies to estimate the fair value of stock-based payment awards granted to employees and non-employees on the date of grant using an option-pricing model. The fair value of the award is recognized as an expense over the requisite service periods in the Company’s statements of operations using the graded vesting method. The Company accounts for stock-based payment awards classified as equity awards. The Company recognizes stock-based award forfeitures as they occur rather than estimate by applying a forfeiture rate.</w:t>
      </w:r>
    </w:p>
    <w:p>
      <w:pPr>
        <w:spacing w:after="0" w:line="183" w:lineRule="exact"/>
        <w:rPr>
          <w:rFonts w:ascii="Times New Roman" w:cs="Times New Roman" w:eastAsia="Times New Roman" w:hAnsi="Times New Roman"/>
          <w:sz w:val="18"/>
          <w:szCs w:val="18"/>
          <w:b w:val="1"/>
          <w:bCs w:val="1"/>
          <w:color w:val="auto"/>
        </w:rPr>
      </w:pPr>
    </w:p>
    <w:p>
      <w:pPr>
        <w:ind w:left="162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issuances of stock options or other equity instruments to non-employees as consideration for goods or services received by the Company are accounted for based on the fair value of the equity instruments issued.</w:t>
      </w:r>
    </w:p>
    <w:p>
      <w:pPr>
        <w:spacing w:after="0" w:line="161" w:lineRule="exact"/>
        <w:rPr>
          <w:rFonts w:ascii="Times New Roman" w:cs="Times New Roman" w:eastAsia="Times New Roman" w:hAnsi="Times New Roman"/>
          <w:sz w:val="18"/>
          <w:szCs w:val="18"/>
          <w:b w:val="1"/>
          <w:bCs w:val="1"/>
          <w:color w:val="auto"/>
        </w:rPr>
      </w:pPr>
    </w:p>
    <w:p>
      <w:pPr>
        <w:ind w:left="1620" w:right="24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estimates the fair value of stock options granted as equity awards using a Black-Scholes option-pricing model. The option-pricing model requires a number of assumptions, of which the most significant are share price, expected volatility and the expected option term (the time from the grant date until the options are exercised or expire). The Company uses an average of its historical stock price volatility. The Company has historically not paid dividends and has no foreseeable plans to issue dividends.</w:t>
      </w:r>
    </w:p>
    <w:p>
      <w:pPr>
        <w:spacing w:after="0" w:line="2" w:lineRule="exact"/>
        <w:rPr>
          <w:rFonts w:ascii="Times New Roman" w:cs="Times New Roman" w:eastAsia="Times New Roman" w:hAnsi="Times New Roman"/>
          <w:sz w:val="18"/>
          <w:szCs w:val="18"/>
          <w:b w:val="1"/>
          <w:bCs w:val="1"/>
          <w:color w:val="auto"/>
        </w:rPr>
      </w:pPr>
    </w:p>
    <w:p>
      <w:pPr>
        <w:ind w:left="162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risk-free interest rate is based on the yield from governmental zero-coupon bonds with an equivalent term. The expected option term is calculated for all stock option grants using the “simplified” method. Changes in the determination of each of the inputs can affect the fair value of the options granted and the results of operations of the Company.</w:t>
      </w:r>
    </w:p>
    <w:p>
      <w:pPr>
        <w:spacing w:after="0" w:line="181"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162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Accounting Standards Update, “Leases” (“ASC 842”), the Company determines if an arrangement is a lease at inception. Upon initial recognition, the Company recognizes a liability at the present value of the lease payments to be made over the lease term, and concurrently recognizes a right-of-use asset at the same amount of the liability, adjusted for any prepaid or accrued lease payments, plus initial direct costs incurred in respect of the lease. The Company uses its incremental borrowing rate based on the information available at the commencement date to determine the present value of the lease payments. The subsequent measurement depends on whether the lease is classified as a finance lease or an operating lease. During the reporting periods, the Company has only operating leases. Lease terms include options to extend the lease when it is reasonably certain that the Company will exercise that option. Lease expenses for operating leases are recognized on a straight-line basis over the lease term.</w:t>
      </w:r>
    </w:p>
    <w:p>
      <w:pPr>
        <w:spacing w:after="0" w:line="19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made a policy election not to capitalize leases with a term of 12 months or less.</w:t>
      </w:r>
    </w:p>
    <w:p>
      <w:pPr>
        <w:spacing w:after="0" w:line="225" w:lineRule="exact"/>
        <w:rPr>
          <w:rFonts w:ascii="Times New Roman" w:cs="Times New Roman" w:eastAsia="Times New Roman" w:hAnsi="Times New Roman"/>
          <w:sz w:val="18"/>
          <w:szCs w:val="18"/>
          <w:b w:val="1"/>
          <w:bCs w:val="1"/>
          <w:color w:val="auto"/>
        </w:rPr>
      </w:pPr>
    </w:p>
    <w:p>
      <w:pPr>
        <w:ind w:left="1620"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360-10, management reviews operating lease assets for impairment whenever events or changes in circumstances indicate that the carrying amount of an asset may not be recoverable based on estimated future undiscounted cash flows. If so indicated, an impairment loss would be recognized for the difference between the carrying amount of the asset and its fair value.</w:t>
      </w:r>
    </w:p>
    <w:p>
      <w:pPr>
        <w:spacing w:after="0" w:line="179" w:lineRule="exact"/>
        <w:rPr>
          <w:rFonts w:ascii="Times New Roman" w:cs="Times New Roman" w:eastAsia="Times New Roman" w:hAnsi="Times New Roman"/>
          <w:sz w:val="18"/>
          <w:szCs w:val="18"/>
          <w:b w:val="1"/>
          <w:bCs w:val="1"/>
          <w:color w:val="auto"/>
        </w:rPr>
      </w:pPr>
    </w:p>
    <w:p>
      <w:pPr>
        <w:ind w:left="16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leased properties where the Company plans to cease use of the property, as well as have the intent and ability to sublease the property, the Company tests the right-of-use asset for impairment to determine if a loss has occurred. The carrying value of the right-of-use asset is adjusted based on the net present value of the future cash flows expected from a sublease agreement over the remaining lease term. As of December 31, 2025, the Company terminated all its remaining lease agreements and, accordingly, no longer maintains any leased properties.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08" w:name="page109"/>
    <w:bookmarkEnd w:id="108"/>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1620" w:hanging="640"/>
        <w:spacing w:after="0"/>
        <w:tabs>
          <w:tab w:leader="none" w:pos="16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rFonts w:ascii="Times New Roman" w:cs="Times New Roman" w:eastAsia="Times New Roman" w:hAnsi="Times New Roman"/>
          <w:sz w:val="18"/>
          <w:szCs w:val="18"/>
          <w:b w:val="1"/>
          <w:bCs w:val="1"/>
          <w:color w:val="auto"/>
        </w:rPr>
      </w:pPr>
    </w:p>
    <w:p>
      <w:pPr>
        <w:ind w:left="1620" w:right="1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allocates the fair value of consideration transferred in a business combination to the assets acquired, liabilities assumed based on their fair values at the acquisition date. Acquisition-related expenses are recognized separately from the business combination and are expensed as incurred. The excess of the fair value of the consideration transferred over the fair value of the assets acquired, liabilities assumed in the acquired business is recorded as goodwill. The fair value of the consideration transferred included equity securities. The allocation of the consideration transferred in certain cases may be subject to revision based on the final determination of fair values during the measurement period, which may be up to one year from the acquisition date. The cumulative impact of revisions during the measurement period is recognized in the reporting period in which the revisions are identified. The Company includes the results of operations of the businesses that it has acquired in its consolidated results prospectively from the respective dates of acquisition.</w:t>
      </w:r>
    </w:p>
    <w:p>
      <w:pPr>
        <w:spacing w:after="0" w:line="184" w:lineRule="exact"/>
        <w:rPr>
          <w:rFonts w:ascii="Times New Roman" w:cs="Times New Roman" w:eastAsia="Times New Roman" w:hAnsi="Times New Roman"/>
          <w:sz w:val="18"/>
          <w:szCs w:val="18"/>
          <w:b w:val="1"/>
          <w:bCs w:val="1"/>
          <w:color w:val="auto"/>
        </w:rPr>
      </w:pPr>
    </w:p>
    <w:p>
      <w:pPr>
        <w:ind w:left="1620" w:right="8260" w:hanging="640"/>
        <w:spacing w:after="0" w:line="503" w:lineRule="auto"/>
        <w:tabs>
          <w:tab w:leader="none" w:pos="16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i w:val="1"/>
          <w:iCs w:val="1"/>
          <w:u w:val="single" w:color="auto"/>
          <w:color w:val="auto"/>
        </w:rPr>
        <w:t>Intangible assets</w:t>
      </w:r>
    </w:p>
    <w:p>
      <w:pPr>
        <w:ind w:left="16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IPR&amp;D assets acquired in a business combination are recognized at fair value as of the acquisition date and subsequently accounted for as indefinite-lived intangible assets until completion or abandonment of the associated R&amp;D efforts. Indefinite-lived intangible assets are reviewed for impairment at least annually, on the last day of the third quarter of the fiscal year or whenever there is an indication that the asset may be impaired. To conduct impairment tests of IPR&amp;D, the fair value of the IPR&amp;D asset is compared to its carrying value. If the carrying value exceeds its fair value, the Company records an impairment loss to the extent that the carrying value of the IPR&amp;D asset exceeds its fair value. During the years ended December 31, 2025 and 2024, the Company recorded IPR&amp;D impairment in amount of $11,842 and $3,237, respectively. See Note 11 for further information.</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5" w:lineRule="exact"/>
        <w:rPr>
          <w:sz w:val="20"/>
          <w:szCs w:val="20"/>
          <w:color w:val="auto"/>
        </w:rPr>
      </w:pPr>
    </w:p>
    <w:p>
      <w:pPr>
        <w:ind w:left="1620" w:hanging="640"/>
        <w:spacing w:after="0"/>
        <w:tabs>
          <w:tab w:leader="none" w:pos="16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rFonts w:ascii="Times New Roman" w:cs="Times New Roman" w:eastAsia="Times New Roman" w:hAnsi="Times New Roman"/>
          <w:sz w:val="18"/>
          <w:szCs w:val="18"/>
          <w:b w:val="1"/>
          <w:bCs w:val="1"/>
          <w:color w:val="auto"/>
        </w:rPr>
      </w:pPr>
    </w:p>
    <w:p>
      <w:pPr>
        <w:jc w:val="both"/>
        <w:ind w:left="16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2022, the Financial Accounting Standards Board (“FASB”) issued Accounting Standards Update (“ASU”) 2022-03 “Fair Value Measurement of Equity Securities Subject to Contractual Sale Restrictions” (“ASU 2022-03”). ASU 2022-03 clarifies that a contractual restriction on the sale of an equity security is not considered part of the unit of account of the equity security and, therefore, is not considered in measuring its fair value. ASU 2022-03 also clarifies that an entity cannot, as a separate unit of account, recognize and measure a contractual sale restriction. ASU 2022-03 also introduces new disclosure requirements for equity securities subject to contractual sale restrictions. The Company adopted ASU 2022-03 on January 1, 2025 and it did not have a material impact on its consolidated financial statements.</w:t>
      </w:r>
    </w:p>
    <w:p>
      <w:pPr>
        <w:spacing w:after="0" w:line="188" w:lineRule="exact"/>
        <w:rPr>
          <w:rFonts w:ascii="Times New Roman" w:cs="Times New Roman" w:eastAsia="Times New Roman" w:hAnsi="Times New Roman"/>
          <w:sz w:val="18"/>
          <w:szCs w:val="18"/>
          <w:b w:val="1"/>
          <w:bCs w:val="1"/>
          <w:color w:val="auto"/>
        </w:rPr>
      </w:pPr>
    </w:p>
    <w:p>
      <w:pPr>
        <w:ind w:left="16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Early adoption is permitted. The Company implemented the new income tax disclosures retrospectively. The implementation of ASU 2023-09 affected disclosures only and had no impact on the Company’s financial condition or results of operations. See Note 16 Income Taxes.</w:t>
      </w:r>
    </w:p>
    <w:p>
      <w:pPr>
        <w:spacing w:after="0" w:line="189"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7" w:lineRule="exact"/>
        <w:rPr>
          <w:rFonts w:ascii="Times New Roman" w:cs="Times New Roman" w:eastAsia="Times New Roman" w:hAnsi="Times New Roman"/>
          <w:sz w:val="18"/>
          <w:szCs w:val="18"/>
          <w:b w:val="1"/>
          <w:bCs w:val="1"/>
          <w:color w:val="auto"/>
        </w:rPr>
      </w:pPr>
    </w:p>
    <w:p>
      <w:pPr>
        <w:ind w:left="1620" w:right="1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FASB issued ASU 2024-03 “Income Statement: Reporting Comprehensive Income— Expense Disaggregation Disclosures,” which requires more detailed information about specified categories of expenses (purchases of inventory, employee compensation, depreciation, amortization, and depletion) included in certain expense captions presented on the face of the income statement, as well as disclosures about selling expenses.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this guidance to determine the impact it may have on its consolidated financial statements disclosures.</w:t>
      </w:r>
    </w:p>
    <w:p>
      <w:pPr>
        <w:spacing w:after="0" w:line="191" w:lineRule="exact"/>
        <w:rPr>
          <w:rFonts w:ascii="Times New Roman" w:cs="Times New Roman" w:eastAsia="Times New Roman" w:hAnsi="Times New Roman"/>
          <w:sz w:val="18"/>
          <w:szCs w:val="18"/>
          <w:b w:val="1"/>
          <w:bCs w:val="1"/>
          <w:color w:val="auto"/>
        </w:rPr>
      </w:pPr>
    </w:p>
    <w:p>
      <w:pPr>
        <w:ind w:left="16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2025, the FASB issued ASU 2025-07 “Derivatives Scope Refinements and Scope Clarification for Share-Based Noncash Consideration from a Customer in a Revenue Contract”. The ASU excludes from the derivative accounting certain non-exchange-traded contracts with contracts with underlying that are based on operations or activities specific to one of the parties to the contract. Further, the ASU clarifies that an entity should apply the guidance in ASC 606 to a contract with stock-based noncash consideration. The guidance in other Topics (such as ASC 815 or ASC 321) does not apply to such consideration unless and until the entity’s right to receive or retain the consideration is unconditional. The ASU is effective for annual periods beginning after December 15, 2026 and interim periods within those annual periods. Early adoption is permitted. The amendment can be applied either prospectively to new contracts entered into on or after the date of adoption or on a modified retrospective basis through cumulative effect adjustment to the opening balance of retained earnings as of the beginning of the annual reporting period of adoption. The Company is in the process of evaluating the effects of the ASU on its contracts.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OTHER CURRENT ASSETS</w:t>
      </w:r>
    </w:p>
    <w:p>
      <w:pPr>
        <w:spacing w:after="0" w:line="23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institutions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Grants receivables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2,706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AND EQUIPMENT, HELD FOR SALE</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Composition of assets, grouped by major classifications, is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56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furniture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5,045</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Depreciation expenses were $2,922 and $1,803 in the years ended December 31, 2025 and 2024, respectively.</w:t>
      </w:r>
    </w:p>
    <w:p>
      <w:pPr>
        <w:spacing w:after="0" w:line="225"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Following BiomX Israel’s notice to the lessor, in July 2025, that it would not exercise the option to extend the lease for its office space in Ness Ziona, Israel, as described in Note 5, the Company accelerated the depreciation of leasehold improvements associated with this lease. In addition, in connection with BiomX Israel’s filing for the commencement of insolvency proceedings, BiomX Israel sold all of its property and equipment subsequent to the balance sheet date. Accordingly, the Company recorded an impairment to reflect the sale proceeds in the amount of $496.</w:t>
      </w:r>
    </w:p>
    <w:p>
      <w:pPr>
        <w:spacing w:after="0" w:line="183" w:lineRule="exact"/>
        <w:rPr>
          <w:sz w:val="20"/>
          <w:szCs w:val="20"/>
          <w:color w:val="auto"/>
        </w:rPr>
      </w:pPr>
    </w:p>
    <w:p>
      <w:pPr>
        <w:ind w:left="980" w:right="120"/>
        <w:spacing w:after="0" w:line="261" w:lineRule="auto"/>
        <w:rPr>
          <w:sz w:val="20"/>
          <w:szCs w:val="20"/>
          <w:color w:val="auto"/>
        </w:rPr>
      </w:pPr>
      <w:r>
        <w:rPr>
          <w:rFonts w:ascii="Times New Roman" w:cs="Times New Roman" w:eastAsia="Times New Roman" w:hAnsi="Times New Roman"/>
          <w:sz w:val="18"/>
          <w:szCs w:val="18"/>
          <w:color w:val="auto"/>
        </w:rPr>
        <w:t>On December 31, 2025, APT signed an amendment to the lease agreement with the landlord to terminate the lease agreement as described in Note 5. Accordingly, the Company accelerated the depreciation of leasehold improvements associated with the lease. Additionally, APT intends to dispose all of its property and equipment. Based on purchase offers received for its equipment, APT determined that the expected sale proceeds are negligible and wrote down the full carrying amount of the assets.</w:t>
      </w:r>
    </w:p>
    <w:p>
      <w:pPr>
        <w:spacing w:after="0" w:line="180" w:lineRule="exact"/>
        <w:rPr>
          <w:sz w:val="20"/>
          <w:szCs w:val="20"/>
          <w:color w:val="auto"/>
        </w:rPr>
      </w:pPr>
    </w:p>
    <w:p>
      <w:pPr>
        <w:ind w:left="980" w:right="1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incurred an impairment loss to its leasehold improvements of $530 associated with its right-of-use asset. Refer to Note 11 for additional information.</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
        <w:t>LEASES</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In September 2020, BiomX Israel entered into a five-year lease for office space in Ness Ziona, Israel, commencing September 1, 2020, with an option to extend until November 30, 2030. The lessor reimbursed BiomX Israel for leasehold improvement costs, which BiomX Israel will repay with interest over the lease term, resulting in recognition of a $1,030 lease incentive asset deducted from the operating lease right-of-use asset. The lease assets and liabilities included the option period.</w:t>
      </w:r>
    </w:p>
    <w:p>
      <w:pPr>
        <w:spacing w:after="0" w:line="180" w:lineRule="exact"/>
        <w:rPr>
          <w:sz w:val="20"/>
          <w:szCs w:val="20"/>
          <w:color w:val="auto"/>
        </w:rPr>
      </w:pPr>
    </w:p>
    <w:p>
      <w:pPr>
        <w:ind w:left="980" w:right="40"/>
        <w:spacing w:after="0" w:line="255" w:lineRule="auto"/>
        <w:rPr>
          <w:sz w:val="20"/>
          <w:szCs w:val="20"/>
          <w:color w:val="auto"/>
        </w:rPr>
      </w:pPr>
      <w:r>
        <w:rPr>
          <w:rFonts w:ascii="Times New Roman" w:cs="Times New Roman" w:eastAsia="Times New Roman" w:hAnsi="Times New Roman"/>
          <w:sz w:val="18"/>
          <w:szCs w:val="18"/>
          <w:color w:val="auto"/>
        </w:rPr>
        <w:t>In July 2025, BiomX Israel notified the lessor of its intention not to exercise the option to extend the lease agreement for an additional five-year period beginning on December 1, 2025, related to its office space in Ness Ziona, Israel. BiomX Israel accounted for the decision not to exercise the extension option as a triggering event under ASC 842, “Leases”, and remeasured the lease liability as an adjustment to the operating lease right-of-use asset associated with the lease. At the effective date of remeasurement, BiomX Israel recorded an adjustment to the right-of-use asset and lease liability in the amount of $2,487 based on the net present value of lease payments discounted. As of December 31, 2025, BiomX Israel no longer leases the office space; however, it is still required to repay the lessor the remaining balance of previously reimbursed leasehold improvements costs, amounting to approximately $636.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LEASES (Cont.)</w:t>
      </w:r>
    </w:p>
    <w:p>
      <w:pPr>
        <w:spacing w:after="0" w:line="229" w:lineRule="exact"/>
        <w:rPr>
          <w:sz w:val="20"/>
          <w:szCs w:val="20"/>
          <w:color w:val="auto"/>
        </w:rPr>
      </w:pPr>
    </w:p>
    <w:p>
      <w:pPr>
        <w:ind w:left="980" w:right="140"/>
        <w:spacing w:after="0" w:line="256" w:lineRule="auto"/>
        <w:rPr>
          <w:sz w:val="20"/>
          <w:szCs w:val="20"/>
          <w:color w:val="auto"/>
        </w:rPr>
      </w:pPr>
      <w:r>
        <w:rPr>
          <w:rFonts w:ascii="Times New Roman" w:cs="Times New Roman" w:eastAsia="Times New Roman" w:hAnsi="Times New Roman"/>
          <w:sz w:val="18"/>
          <w:szCs w:val="18"/>
          <w:color w:val="auto"/>
        </w:rPr>
        <w:t>On August 9, 2019, APT entered into a lease agreement (the “APT Lease Agreement”) with ARE-708 Quince Orchard, LLC (the “Landlord”), for office and lab spaces in Gaithersburg, Maryland starting on September 1, 2019. On March 5, 2024, in connection with the Acquisition, APT and the Landlord, signed an amendment to the APT Lease Agreement. Pursuant to the amendment, the leased area and the monthly fees were reduced. The Company issued the Landlord warrants (the “Landlord Warrants”) to purchase up to an aggregate of 1,316 shares of the Company’s Common Stock at an exercise price of $950.00 per share. The Landlord Warrants became exercisable on July 9, 2024, and will expire on January 28, 2027.</w:t>
      </w:r>
    </w:p>
    <w:p>
      <w:pPr>
        <w:spacing w:after="0" w:line="187" w:lineRule="exact"/>
        <w:rPr>
          <w:sz w:val="20"/>
          <w:szCs w:val="20"/>
          <w:color w:val="auto"/>
        </w:rPr>
      </w:pPr>
    </w:p>
    <w:p>
      <w:pPr>
        <w:ind w:left="980" w:right="80"/>
        <w:spacing w:after="0" w:line="255" w:lineRule="auto"/>
        <w:rPr>
          <w:sz w:val="20"/>
          <w:szCs w:val="20"/>
          <w:color w:val="auto"/>
        </w:rPr>
      </w:pPr>
      <w:r>
        <w:rPr>
          <w:rFonts w:ascii="Times New Roman" w:cs="Times New Roman" w:eastAsia="Times New Roman" w:hAnsi="Times New Roman"/>
          <w:sz w:val="18"/>
          <w:szCs w:val="18"/>
          <w:color w:val="auto"/>
        </w:rPr>
        <w:t>On December 31, 2025, APT and the Landlord executed an amendment to the APT Lease Agreement to terminate the lease. Pursuant to the amendment, the Landlord applied a security deposit of $154, and the Company became obligated to deposit $800 into a designated escrow account in connection with the lease termination. As of December 31, 2025, the Company had deposited $300 into the escrow account. In January 2026, the remaining balance of $500 was deposited into the escrow account and subsequently released to the Landlord. As a result of the termination, the Company recognized a gain of $2,949 from lease termination for the period ended December 31, 2025, reflecting the derecognition of the related right-of-use asset and lease liability, and the total consideration that will be paid in connection with the termination.</w:t>
      </w:r>
    </w:p>
    <w:p>
      <w:pPr>
        <w:spacing w:after="0" w:line="189"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an impairment charge of $3,516 in relation to its right-of-use asset. See Note 11 for further information.</w:t>
      </w:r>
    </w:p>
    <w:p>
      <w:pPr>
        <w:spacing w:after="0" w:line="162" w:lineRule="exact"/>
        <w:rPr>
          <w:sz w:val="20"/>
          <w:szCs w:val="20"/>
          <w:color w:val="auto"/>
        </w:rPr>
      </w:pPr>
    </w:p>
    <w:p>
      <w:pPr>
        <w:ind w:left="980" w:right="320"/>
        <w:spacing w:after="0" w:line="282" w:lineRule="auto"/>
        <w:rPr>
          <w:sz w:val="20"/>
          <w:szCs w:val="20"/>
          <w:color w:val="auto"/>
        </w:rPr>
      </w:pPr>
      <w:r>
        <w:rPr>
          <w:rFonts w:ascii="Times New Roman" w:cs="Times New Roman" w:eastAsia="Times New Roman" w:hAnsi="Times New Roman"/>
          <w:sz w:val="18"/>
          <w:szCs w:val="18"/>
          <w:color w:val="auto"/>
        </w:rPr>
        <w:t>Lease expenses recorded in the consolidated statements of operations were $1,967 and $3,543 for the years ended December 31, 2025 and 2024, respectively.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40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4000" w:type="dxa"/>
            <w:vAlign w:val="bottom"/>
          </w:tcPr>
          <w:p>
            <w:pPr>
              <w:spacing w:after="0"/>
              <w:rPr>
                <w:sz w:val="21"/>
                <w:szCs w:val="21"/>
                <w:color w:val="auto"/>
              </w:rPr>
            </w:pPr>
          </w:p>
        </w:tc>
        <w:tc>
          <w:tcPr>
            <w:tcW w:w="5800" w:type="dxa"/>
            <w:vAlign w:val="bottom"/>
            <w:gridSpan w:val="2"/>
          </w:tcPr>
          <w:p>
            <w:pPr>
              <w:jc w:val="center"/>
              <w:ind w:left="45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4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40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8"/>
                <w:szCs w:val="18"/>
                <w:color w:val="auto"/>
              </w:rPr>
              <w:t>F-24</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ACCOUNT PAYABLES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56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and related institutions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institutions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0"/>
        </w:trPr>
        <w:tc>
          <w:tcPr>
            <w:tcW w:w="1460" w:type="dxa"/>
            <w:vAlign w:val="bottom"/>
            <w:tcBorders>
              <w:top w:val="single" w:sz="8" w:color="CCEEFF"/>
            </w:tcBorders>
          </w:tcPr>
          <w:p>
            <w:pPr>
              <w:spacing w:after="0"/>
              <w:rPr>
                <w:sz w:val="18"/>
                <w:szCs w:val="18"/>
                <w:color w:val="auto"/>
              </w:rPr>
            </w:pPr>
          </w:p>
        </w:tc>
        <w:tc>
          <w:tcPr>
            <w:tcW w:w="7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5,255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TRANSACTION WITH RELATED PARTIES</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Refer to note 12B regarding stock options granted to related parties.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20" w:hanging="640"/>
        <w:spacing w:after="0"/>
        <w:tabs>
          <w:tab w:leader="none" w:pos="16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 to note 12A regarding a Securities Purchase Agreement with institutional investors.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8 -</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ind w:left="1620" w:right="60" w:hanging="640"/>
        <w:spacing w:after="0" w:line="254" w:lineRule="auto"/>
        <w:tabs>
          <w:tab w:leader="none" w:pos="16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2021, APT entered into a Collaboration and Option Agreement (the “Oyster Agreement”) with Oyster, a wholly owned subsidiary of Viatris Inc., to collaborate on the use of APT’s proprietary phage technology for the treatment of certain ophthalmic diseases. Upon execution of the Agreement, Oyster paid an upfront payment of $500 to APT, a portion of which APT claims it has spent in the course of performing its obligations under the Oyster Agreement. In April 2022 and September 2023, APT received letters from Oyster and Viatris Inc. raising concerns about APT’s actions, including allegations that APT had breached the Oyster Agreement. On December 18, 2024, APT and Oyster signed a settlement agreement (the “Settlement Agreement”), which includes a payment of $300 from APT to Oyster. As of December 31, 2024, the Company has recorded a provision of $300 as other accounts payable in the consolidated balance sheets. On January 13, 2025, APT paid Oyster $300 according to the Settlement Agreement.</w:t>
      </w:r>
    </w:p>
    <w:p>
      <w:pPr>
        <w:spacing w:after="0" w:line="191" w:lineRule="exact"/>
        <w:rPr>
          <w:rFonts w:ascii="Times New Roman" w:cs="Times New Roman" w:eastAsia="Times New Roman" w:hAnsi="Times New Roman"/>
          <w:sz w:val="18"/>
          <w:szCs w:val="18"/>
          <w:b w:val="1"/>
          <w:bCs w:val="1"/>
          <w:color w:val="auto"/>
        </w:rPr>
      </w:pPr>
    </w:p>
    <w:p>
      <w:pPr>
        <w:ind w:left="1620" w:right="20" w:hanging="640"/>
        <w:spacing w:after="0" w:line="254" w:lineRule="auto"/>
        <w:tabs>
          <w:tab w:leader="none" w:pos="16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2015 to 2023, IIA approved several grant applications submitted by BiomX Israel in support of the Company’s various product candidates. Through December 31, 2025, total grants received from the IIA aggregated to approximately $8,933 (NIS 30,666). As of December 31, 2025, total grants subject to royalties’ payments aggregated to approximately $8,100. Repayment of the grant is contingent upon the successful completion of the BiomX Israel’s R&amp;D programs and generating sales. BiomX Israel has no obligation to repay these grants if the R&amp;D program fails, is unsuccessful or aborted or if no sales are generated. The Company had not yet generated sales as of December 31, 2025; therefore, no liability was recorded in these consolidated financial statements. IIA grants are recorded as a reduction of R&amp;D expenses, net. As of December 31, 2025, BiomX Israel had a contingent obligation to the IIA in the amount of approximately $9,392 including annual interest of SOFR applicable to dollar deposits.</w:t>
      </w:r>
    </w:p>
    <w:p>
      <w:pPr>
        <w:spacing w:after="0" w:line="191" w:lineRule="exact"/>
        <w:rPr>
          <w:rFonts w:ascii="Times New Roman" w:cs="Times New Roman" w:eastAsia="Times New Roman" w:hAnsi="Times New Roman"/>
          <w:sz w:val="18"/>
          <w:szCs w:val="18"/>
          <w:b w:val="1"/>
          <w:bCs w:val="1"/>
          <w:color w:val="auto"/>
        </w:rPr>
      </w:pPr>
    </w:p>
    <w:p>
      <w:pPr>
        <w:ind w:left="1620" w:right="40" w:hanging="640"/>
        <w:spacing w:after="0" w:line="253" w:lineRule="auto"/>
        <w:tabs>
          <w:tab w:leader="none" w:pos="16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2015, BiomX Israel entered into a Research and License Agreement (the “2015 License Agreement”) as amended with Yeda Research and Development Company Limited (“Yeda”), pursuant to which BiomX Israel received an exclusive worldwide license to certain know-how and research information related to the development, testing, manufacturing, production and sale of microbiome-based therapeutic product candidates, including candidates specified in the agreement, as well as patents, research and other rights to phage product candidates. In return, BiomX Israel is obligated to pay Yeda annual license fees of approximately $10 and royalties on revenues as defined in the 2015 License Agreement. In July 2019, the Company and Yeda amended the 2015 License Agreement, pursuant to which, following the closing of the Recapitalization Transaction, the Company is obligated to pay Yeda a one-time payment as described in the amendment which will not exceed 1% of the consideration received in the event of certain mergers or acquisitions involving the Company. The Merger Agreement as described in Note 1C, does not constitute a merger or acquisition as defined in the amendment.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8 -</w:t>
      </w:r>
      <w:r>
        <w:rPr>
          <w:sz w:val="20"/>
          <w:szCs w:val="20"/>
          <w:color w:val="auto"/>
        </w:rPr>
        <w:tab/>
      </w:r>
      <w:r>
        <w:rPr>
          <w:rFonts w:ascii="Times New Roman" w:cs="Times New Roman" w:eastAsia="Times New Roman" w:hAnsi="Times New Roman"/>
          <w:sz w:val="17"/>
          <w:szCs w:val="17"/>
          <w:b w:val="1"/>
          <w:bCs w:val="1"/>
          <w:color w:val="auto"/>
        </w:rPr>
        <w:t>COMMITMENTS AND CONTINGENCIES (Cont.)</w:t>
      </w:r>
    </w:p>
    <w:p>
      <w:pPr>
        <w:spacing w:after="0" w:line="229" w:lineRule="exact"/>
        <w:rPr>
          <w:sz w:val="20"/>
          <w:szCs w:val="20"/>
          <w:color w:val="auto"/>
        </w:rPr>
      </w:pPr>
    </w:p>
    <w:p>
      <w:pPr>
        <w:ind w:left="1620" w:right="60" w:hanging="640"/>
        <w:spacing w:after="0" w:line="261" w:lineRule="auto"/>
        <w:tabs>
          <w:tab w:leader="none" w:pos="16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2021, the Company entered into a Stock Purchase Agreement with a subsidiary of Maruho Co. Ltd. (“Maruho”), granting Maruho a right of first offer to license BX005 in Japan. An amount of $1,976 was recorded as a contract liability. In April 2024, following the decision to pause development of BX005, the right of first offer was terminated, and the full contract liability was reversed and recognized as other income for the year ended December 31, 2024.</w:t>
      </w:r>
    </w:p>
    <w:p>
      <w:pPr>
        <w:spacing w:after="0" w:line="179" w:lineRule="exact"/>
        <w:rPr>
          <w:rFonts w:ascii="Times New Roman" w:cs="Times New Roman" w:eastAsia="Times New Roman" w:hAnsi="Times New Roman"/>
          <w:sz w:val="18"/>
          <w:szCs w:val="18"/>
          <w:b w:val="1"/>
          <w:bCs w:val="1"/>
          <w:color w:val="auto"/>
        </w:rPr>
      </w:pPr>
    </w:p>
    <w:p>
      <w:pPr>
        <w:ind w:left="1620" w:right="80" w:hanging="640"/>
        <w:spacing w:after="0" w:line="254" w:lineRule="auto"/>
        <w:tabs>
          <w:tab w:leader="none" w:pos="16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2017, BiomX Israel signed a share purchase agreement with the shareholders of RondinX Ltd., which included a contingent consideration mechanism based on the achievement of specified clinical, development, regulatory, commercial and strategic milestones, or the execution of qualifying collaboration agreements. Such consideration may be settled, at the Company’s discretion, in cash and/or shares of Common Stock, up to an aggregate amount of $32,000 over a ten-year period from the closing of the agreement. Following BiomX Israel’s filing for the commencement of insolvency proceedings, the Company concluded that the likelihood of achieving the milestones is remote; therefore, the fair value of the contingent consideration is zero.; accordingly, as of December 31, 2025, the contingent liability was reversed. As of December 31, 2024, the consolidated financial statements include a liability with respect to this agreement in the amount of $77.</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9 -</w:t>
      </w:r>
      <w:r>
        <w:rPr>
          <w:sz w:val="20"/>
          <w:szCs w:val="20"/>
          <w:color w:val="auto"/>
        </w:rPr>
        <w:tab/>
      </w:r>
      <w:r>
        <w:rPr>
          <w:rFonts w:ascii="Times New Roman" w:cs="Times New Roman" w:eastAsia="Times New Roman" w:hAnsi="Times New Roman"/>
          <w:sz w:val="17"/>
          <w:szCs w:val="17"/>
          <w:b w:val="1"/>
          <w:bCs w:val="1"/>
          <w:color w:val="auto"/>
        </w:rPr>
        <w:t>U.S. GOVERNMENT CONTRACTS AND GRANTS</w:t>
      </w:r>
    </w:p>
    <w:p>
      <w:pPr>
        <w:spacing w:after="0" w:line="229" w:lineRule="exact"/>
        <w:rPr>
          <w:sz w:val="20"/>
          <w:szCs w:val="20"/>
          <w:color w:val="auto"/>
        </w:rPr>
      </w:pPr>
    </w:p>
    <w:p>
      <w:pPr>
        <w:ind w:left="980" w:right="20"/>
        <w:spacing w:after="0" w:line="252" w:lineRule="auto"/>
        <w:rPr>
          <w:sz w:val="20"/>
          <w:szCs w:val="20"/>
          <w:color w:val="auto"/>
        </w:rPr>
      </w:pPr>
      <w:r>
        <w:rPr>
          <w:rFonts w:ascii="Times New Roman" w:cs="Times New Roman" w:eastAsia="Times New Roman" w:hAnsi="Times New Roman"/>
          <w:sz w:val="18"/>
          <w:szCs w:val="18"/>
          <w:color w:val="auto"/>
        </w:rPr>
        <w:t>In 2019, APT entered into a Base Agreement and Research Project Award (collectively, the “Agreement”) with the U.S. Army Medical Research Acquisition Activity (“USAMRAA”) and the U.S. Army Medical Research &amp; Development Command (“USAMRDC”) to advance personalized phage therapy from niche to broad use. Awards under the Agreement are intended to lay the groundwork for rapid advancement of personalized phage therapy to commercialization for the variety of clinical indications and bacterial pathogens representing un-met needs with a focus on infections with significant military relevance. The competitive award was granted by USAMRAA and USAMRDC in collaboration with MTEC, a 501(c)(3) biomedical technology consortium working in partnership with the U.S. Department of Defense. Since Agreement inception, APT entered into certain modifications to the Agreement to include additional activities and perform pre-clinical activities to advance the Diabetic Foot Osteomyelitis (“DFO”) clinical program. Under the Agreement, MTEC reimburses APT for approved costs as incurred that are based upon the achievement of certain milestones up to a contract value of $36,214. In September 2024, the Agreement was amended to extend the period of performance to continue and complete the pre-clinical activities for the DFO clinical program, which increased the total contract value to $39,081. In conjunction with this Agreement, APT was subject to an assessment fee of an amount equal up to 3% of the total funded value of the research project award which was paid by the Company upon signing the agreement or the modifications. Under the amendment signed in September 2024, APT was subject to an assessment fee of 1%, resulting in a payment of $29 to MTEC in December 2024. For the period between the Acquisition and December 31, 2025, the Company received grants of $5,760 from MTEC with respect to the cost reimbursement contract. During the years ended December 31, 2025 and 2024, the Company recorded $1,638 and $2,614 as a reduction of R&amp;D expenses, net.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200" w:lineRule="exact"/>
        <w:rPr>
          <w:sz w:val="20"/>
          <w:szCs w:val="20"/>
          <w:color w:val="auto"/>
        </w:rPr>
      </w:pPr>
    </w:p>
    <w:p>
      <w:pPr>
        <w:spacing w:after="0" w:line="24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August 16, 2021 (the “Closing Date”), the Company entered into a Loan and Security Agreement (the “Loan Agreement”) with Hercules Capital, Inc. (“Hercules”), with respect to a venture debt facility. Under the Loan Agreement, $15,000 was advanced to the Company on the date the Loan Agreement was executed. On March 19, 2024, the Company prepaid the entire balance under the Loan Agreement in a total of $10,428.</w:t>
      </w:r>
    </w:p>
    <w:p>
      <w:pPr>
        <w:spacing w:after="0" w:line="180"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Interest expense relating to the term loan, which is included in interest expense in the consolidated statements of operations was $850 for the year ended December 31,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GOODWILL, INTANGIBLE ASSET &amp; LONG-LIVED ASSETS IMPAIRMENT</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980" w:right="20"/>
        <w:spacing w:after="0" w:line="254" w:lineRule="auto"/>
        <w:rPr>
          <w:sz w:val="20"/>
          <w:szCs w:val="20"/>
          <w:color w:val="auto"/>
        </w:rPr>
      </w:pPr>
      <w:r>
        <w:rPr>
          <w:rFonts w:ascii="Times New Roman" w:cs="Times New Roman" w:eastAsia="Times New Roman" w:hAnsi="Times New Roman"/>
          <w:sz w:val="18"/>
          <w:szCs w:val="18"/>
          <w:color w:val="auto"/>
        </w:rPr>
        <w:t>Following the APT Acquisition, the Company recognized goodwill valued at $801 after adjustment made during the measurement period as described in Note 1C above. In the third quarter of 2024, the Company performed a quantitative assessment for goodwill impairment, due to a decline in the Company’s stock price resulting in its market capitalization being less than the Company’s stockholders’ equity, which management concluded as an impairment indicator. The assessment utilizes the Company’s market capitalization plus an appropriate control premium. Market capitalization is determined by multiplying the outstanding number of shares of Common Stock by the Company’s stock price. The control premium is determined by utilizing publicly available data from studies for similar transactions of public companies. Based on the assessment, the Company concluded that the fair value of its reporting unit was less than its carrying value. Therefore, the Company recognized a full goodwill impairment of $801 for the year ended December 31, 2024.</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Intangible asset</w:t>
      </w:r>
    </w:p>
    <w:p>
      <w:pPr>
        <w:spacing w:after="0" w:line="227" w:lineRule="exact"/>
        <w:rPr>
          <w:sz w:val="20"/>
          <w:szCs w:val="20"/>
          <w:color w:val="auto"/>
        </w:rPr>
      </w:pPr>
    </w:p>
    <w:p>
      <w:pPr>
        <w:jc w:val="both"/>
        <w:ind w:left="980" w:right="100"/>
        <w:spacing w:after="0" w:line="266" w:lineRule="auto"/>
        <w:rPr>
          <w:sz w:val="20"/>
          <w:szCs w:val="20"/>
          <w:color w:val="auto"/>
        </w:rPr>
      </w:pPr>
      <w:r>
        <w:rPr>
          <w:rFonts w:ascii="Times New Roman" w:cs="Times New Roman" w:eastAsia="Times New Roman" w:hAnsi="Times New Roman"/>
          <w:sz w:val="18"/>
          <w:szCs w:val="18"/>
          <w:color w:val="auto"/>
        </w:rPr>
        <w:t>In the third quarter of 2025, the Company performed a quantitative assessment for its IPR&amp;D asset, in accordance with the timing prescribed by the Company’s accounting policy, as described in Note 2R. The assessment indicated that the fair value of its IPR&amp;D was higher than its carrying value and no impairment was recognized.</w:t>
      </w:r>
    </w:p>
    <w:p>
      <w:pPr>
        <w:spacing w:after="0" w:line="176" w:lineRule="exact"/>
        <w:rPr>
          <w:sz w:val="20"/>
          <w:szCs w:val="20"/>
          <w:color w:val="auto"/>
        </w:rPr>
      </w:pPr>
    </w:p>
    <w:p>
      <w:pPr>
        <w:ind w:left="980" w:right="20"/>
        <w:spacing w:after="0" w:line="254" w:lineRule="auto"/>
        <w:rPr>
          <w:sz w:val="20"/>
          <w:szCs w:val="20"/>
          <w:color w:val="auto"/>
        </w:rPr>
      </w:pPr>
      <w:r>
        <w:rPr>
          <w:rFonts w:ascii="Times New Roman" w:cs="Times New Roman" w:eastAsia="Times New Roman" w:hAnsi="Times New Roman"/>
          <w:sz w:val="18"/>
          <w:szCs w:val="18"/>
          <w:color w:val="auto"/>
        </w:rPr>
        <w:t>During the fourth quarter of 2025, the Company’s stock price declined significantly, in part following the Company’s announcement regarding the discontinuation of the cystic fibrosis (“CF”) Phase 2b clinical trial due to adverse events and the filing of the application to commence insolvency proceedings for BiomX Israel. The discontinuation of the CF trial raised concerns that extended beyond the CF program itself, as the adverse events observed may have broader implications for the Company’s platform technology and pipeline programs. As a result, the Company performed an impairment assessment of its IPR&amp;D acquired in the APT Acquisition. The fair value of the IPR&amp;D was estimated using a market approach, based on the Company’s equity value with the addition of a control premium derived from publicly available data from studies for similar transactions of public companies. Based on this valuation, the Company recognized an impairment loss on the IPR&amp;D of $11,842. As of December 31, 2025 and 2024 the IPR&amp;D balance was $208 and $12,050, respectively.</w:t>
      </w:r>
    </w:p>
    <w:p>
      <w:pPr>
        <w:spacing w:after="0" w:line="192" w:lineRule="exact"/>
        <w:rPr>
          <w:sz w:val="20"/>
          <w:szCs w:val="20"/>
          <w:color w:val="auto"/>
        </w:rPr>
      </w:pPr>
    </w:p>
    <w:p>
      <w:pPr>
        <w:ind w:left="980" w:right="100"/>
        <w:spacing w:after="0" w:line="266" w:lineRule="auto"/>
        <w:rPr>
          <w:sz w:val="20"/>
          <w:szCs w:val="20"/>
          <w:color w:val="auto"/>
        </w:rPr>
      </w:pPr>
      <w:r>
        <w:rPr>
          <w:rFonts w:ascii="Times New Roman" w:cs="Times New Roman" w:eastAsia="Times New Roman" w:hAnsi="Times New Roman"/>
          <w:sz w:val="18"/>
          <w:szCs w:val="18"/>
          <w:color w:val="auto"/>
        </w:rPr>
        <w:t>In the third quarter of 2024, the Company performed a quantitative assessment for its IPR&amp;D asset, resulting from the decline in the Company’s stock price as above mentioned. The assessment indicated that the fair value of its IPR&amp;D was higher than its carrying value and no impairment was recognized.</w:t>
      </w:r>
    </w:p>
    <w:p>
      <w:pPr>
        <w:spacing w:after="0" w:line="176"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During the fourth quarter of 2024, in light of the continued decline in the Company’s stock price, the Company reperformed a quantitative assessment for its IPR&amp;D asset. The assessment was performed using the discounted cash flow model of the income approach. The cash flow projections included significant judgments and assumptions relating to amount and timing of projected future cash flows including, but not limited to, estimating the expected costs to complete in-process projects, projecting regulatory approvals, estimating future cash flows from product sales and developing appropriate discount rates. The Company used a discount rate of 19% which is based on the estimated weighted-average cost of capital for APT. As a result of the impairment assessment, the Company concluded that the fair value of the IPR&amp;D decreased below its carrying value and the Company recorded an impairment in the amount of $3,237 for the year ended December 31, 2024.</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Other long-lived assets</w:t>
      </w:r>
    </w:p>
    <w:p>
      <w:pPr>
        <w:spacing w:after="0" w:line="227" w:lineRule="exact"/>
        <w:rPr>
          <w:sz w:val="20"/>
          <w:szCs w:val="20"/>
          <w:color w:val="auto"/>
        </w:rPr>
      </w:pPr>
    </w:p>
    <w:p>
      <w:pPr>
        <w:ind w:left="1020" w:right="420"/>
        <w:spacing w:after="0" w:line="282" w:lineRule="auto"/>
        <w:rPr>
          <w:sz w:val="20"/>
          <w:szCs w:val="20"/>
          <w:color w:val="auto"/>
        </w:rPr>
      </w:pPr>
      <w:r>
        <w:rPr>
          <w:rFonts w:ascii="Times New Roman" w:cs="Times New Roman" w:eastAsia="Times New Roman" w:hAnsi="Times New Roman"/>
          <w:sz w:val="18"/>
          <w:szCs w:val="18"/>
          <w:color w:val="auto"/>
        </w:rPr>
        <w:t>In December 2025, the Company recorded an impairment of its property and equipment in the amount of $1,653. See Note 4 for further information.</w:t>
      </w:r>
    </w:p>
    <w:p>
      <w:pPr>
        <w:spacing w:after="0" w:line="162"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In December 2024, the Company’s management decided to cease the use of the property in Gaithersburg, Maryland and made it available for sublease. The Company considered it as an impairment indicator for impairment assessment of the right-of-use asset and related leasehold improvements as the Company considered it as one asset group for the purpose of the long-lived asset impairment assessment. Calculating the fair value of the asset group involves significant estimates and market participant assumptions. These estimates and assumptions include, among others, projected future cash flows, risk-adjusted discount rates and market conditions. The Company evaluated the future cash flows expected from a sublease agreement over the remaining lease term and concluded that the carrying value of the asset group was not recoverable as it exceeded the future net discounted cash flows that are expected to be generated from the use of the assets within the asset group. The Company recognized an impairment of $4,046 which was allocated to the right-of-use asset and the related leasehold improvements within the asset group on a pro rata basis using the relative carrying amounts of those assets, which resulted in impairment charges of $3,516 and $530, respectively, during the year ended December 31, 2024</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25" w:lineRule="exact"/>
        <w:rPr>
          <w:sz w:val="20"/>
          <w:szCs w:val="20"/>
          <w:color w:val="auto"/>
        </w:rPr>
      </w:pPr>
    </w:p>
    <w:p>
      <w:pPr>
        <w:ind w:left="1620" w:right="8060" w:hanging="640"/>
        <w:spacing w:after="0" w:line="503" w:lineRule="auto"/>
        <w:tabs>
          <w:tab w:leader="none" w:pos="16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Reverse Stock Split:</w:t>
      </w:r>
    </w:p>
    <w:p>
      <w:pPr>
        <w:ind w:left="162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8, 2024, the Board of Directors approved a 1-for-10 Reverse Stock Split of the Company’s shares of Common Stock (the “2024 Reverse Stock Split”).</w:t>
      </w:r>
    </w:p>
    <w:p>
      <w:pPr>
        <w:spacing w:after="0" w:line="161" w:lineRule="exact"/>
        <w:rPr>
          <w:rFonts w:ascii="Times New Roman" w:cs="Times New Roman" w:eastAsia="Times New Roman" w:hAnsi="Times New Roman"/>
          <w:sz w:val="18"/>
          <w:szCs w:val="18"/>
          <w:b w:val="1"/>
          <w:bCs w:val="1"/>
          <w:color w:val="auto"/>
        </w:rPr>
      </w:pPr>
    </w:p>
    <w:p>
      <w:pPr>
        <w:ind w:left="1620" w:right="3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August 20, 2024, the Company filed the Certificate of Amendment with the Delaware Secretary of State to effect the 2024 Reverse Stock Split, which became effective on August 26, 2024 (the “Effective Date”). The Company’s Common Stock began trading on a 2024 Reverse Stock Split adjusted basis on the NYSE American at the opening of the markets on the Effective Date.</w:t>
      </w:r>
    </w:p>
    <w:p>
      <w:pPr>
        <w:spacing w:after="0" w:line="157"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2024 Reverse Stock Split, the number of shares of Common Stock outstanding was reduced from</w:t>
      </w:r>
    </w:p>
    <w:p>
      <w:pPr>
        <w:spacing w:after="0" w:line="27" w:lineRule="exact"/>
        <w:rPr>
          <w:rFonts w:ascii="Times New Roman" w:cs="Times New Roman" w:eastAsia="Times New Roman" w:hAnsi="Times New Roman"/>
          <w:sz w:val="18"/>
          <w:szCs w:val="18"/>
          <w:b w:val="1"/>
          <w:bCs w:val="1"/>
          <w:color w:val="auto"/>
        </w:rPr>
      </w:pPr>
    </w:p>
    <w:p>
      <w:pPr>
        <w:ind w:left="16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178,958,447 shares to 18,021,173 shares (pre the 2025 Reverse Stock Split as defined below). No fractional shares of Common Stock or Units were issued ;Stockholders of the Company otherwise entitled to receive fractional shares were rounded up to the next whole share, resulting in the issuance of 125,328 additional shares of Common Stock. The Reverse Stock Split did not change the par value of the Common Stock nor the authorized number of shares of Common Stock, preferred stock or any series of preferred stock.</w:t>
      </w:r>
    </w:p>
    <w:p>
      <w:pPr>
        <w:spacing w:after="0" w:line="188" w:lineRule="exact"/>
        <w:rPr>
          <w:rFonts w:ascii="Times New Roman" w:cs="Times New Roman" w:eastAsia="Times New Roman" w:hAnsi="Times New Roman"/>
          <w:sz w:val="18"/>
          <w:szCs w:val="18"/>
          <w:b w:val="1"/>
          <w:bCs w:val="1"/>
          <w:color w:val="auto"/>
        </w:rPr>
      </w:pPr>
    </w:p>
    <w:p>
      <w:pPr>
        <w:ind w:left="162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16, 2025, the Company’s stockholders approved a reverse stock split at a ratio within a range of 1-for-5 and 1-for-20 at such time as the Board of Directors shall determine, in its sole discretion, at any time before October 16, 2026. On November 13, 2025, the Board of Directors approved a 1-for-19 Reverse Stock Split of the Company’s shares of Common Stock.</w:t>
      </w:r>
    </w:p>
    <w:p>
      <w:pPr>
        <w:spacing w:after="0" w:line="175" w:lineRule="exact"/>
        <w:rPr>
          <w:rFonts w:ascii="Times New Roman" w:cs="Times New Roman" w:eastAsia="Times New Roman" w:hAnsi="Times New Roman"/>
          <w:sz w:val="18"/>
          <w:szCs w:val="18"/>
          <w:b w:val="1"/>
          <w:bCs w:val="1"/>
          <w:color w:val="auto"/>
        </w:rPr>
      </w:pPr>
    </w:p>
    <w:p>
      <w:pPr>
        <w:jc w:val="both"/>
        <w:ind w:left="162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17, 2025, the Company filed the Certificate of Amendment with the Delaware Secretary of State to effect the 2025 Reverse Stock Split, which became effective on November 25, 2025. The Company’s Common Stock began trading on a Reverse Stock Split adjusted basis on the NYSE American at the opening of the markets on the same date.</w:t>
      </w:r>
    </w:p>
    <w:p>
      <w:pPr>
        <w:spacing w:after="0" w:line="175"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2025 Reverse Stock Split, the number of shares of Common Stock outstanding was reduced from</w:t>
      </w:r>
    </w:p>
    <w:p>
      <w:pPr>
        <w:spacing w:after="0" w:line="27" w:lineRule="exact"/>
        <w:rPr>
          <w:rFonts w:ascii="Times New Roman" w:cs="Times New Roman" w:eastAsia="Times New Roman" w:hAnsi="Times New Roman"/>
          <w:sz w:val="18"/>
          <w:szCs w:val="18"/>
          <w:b w:val="1"/>
          <w:bCs w:val="1"/>
          <w:color w:val="auto"/>
        </w:rPr>
      </w:pPr>
    </w:p>
    <w:p>
      <w:pPr>
        <w:ind w:left="1620" w:right="2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29,002,617 shares to 1,592,985 shares. No fractional shares of Common Stock were issued in connection with the 2025 Reverse Stock Split. Stockholders of the Company who otherwise were entitled to receive fractional shares, because they held a number of shares or Units, as applicable, not evenly divisible by the 2025 Reverse Stock Split ratio were automatically entitled to receive an additional fraction of a share of the Common Stock or Unit, as applicable, to round up to the next whole share. As a result, 66,344 shares of Common Stock were issued. The 2025 Reverse Stock Split did not change the par value of the Common Stock nor the authorized number of shares of Common Stock, preferred stock or any series of preferred stock.</w:t>
      </w:r>
    </w:p>
    <w:p>
      <w:pPr>
        <w:spacing w:after="0" w:line="189" w:lineRule="exact"/>
        <w:rPr>
          <w:rFonts w:ascii="Times New Roman" w:cs="Times New Roman" w:eastAsia="Times New Roman" w:hAnsi="Times New Roman"/>
          <w:sz w:val="18"/>
          <w:szCs w:val="18"/>
          <w:b w:val="1"/>
          <w:bCs w:val="1"/>
          <w:color w:val="auto"/>
        </w:rPr>
      </w:pPr>
    </w:p>
    <w:p>
      <w:pPr>
        <w:ind w:left="162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indicated, all amounts of issued and outstanding stock contained in the accompanying consolidated financial statements have been adjusted to reflect the 1-for-10 2024 Reverse Stock Split and the 1-for-19 2025 Reverse Stock Split for all prior periods presented. Proportional adjustments were also made to shares underlying outstanding equity awards, warrants and Redeemable Convertible Preferred Shares, and to the number of shares issued and issuable under the Company’s stock incentive plans and certain existing agreements.</w:t>
      </w:r>
    </w:p>
    <w:p>
      <w:pPr>
        <w:spacing w:after="0" w:line="179"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 shares of common stock:</w:t>
      </w:r>
    </w:p>
    <w:p>
      <w:pPr>
        <w:spacing w:after="0" w:line="229" w:lineRule="exact"/>
        <w:rPr>
          <w:rFonts w:ascii="Times New Roman" w:cs="Times New Roman" w:eastAsia="Times New Roman" w:hAnsi="Times New Roman"/>
          <w:sz w:val="18"/>
          <w:szCs w:val="18"/>
          <w:b w:val="1"/>
          <w:bCs w:val="1"/>
          <w:color w:val="auto"/>
        </w:rPr>
      </w:pPr>
    </w:p>
    <w:p>
      <w:pPr>
        <w:ind w:left="1620" w:right="7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9, 2024, the Company’s stockholders approved increasing the number of authorized shares of Common Stock from 120,000,000 shares, par value $0.0001 per share, to 750,000,000 shares, par value $0.0001 per share.</w:t>
      </w:r>
    </w:p>
    <w:p>
      <w:pPr>
        <w:spacing w:after="0" w:line="157"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229" w:lineRule="exact"/>
        <w:rPr>
          <w:rFonts w:ascii="Times New Roman" w:cs="Times New Roman" w:eastAsia="Times New Roman" w:hAnsi="Times New Roman"/>
          <w:sz w:val="18"/>
          <w:szCs w:val="18"/>
          <w:b w:val="1"/>
          <w:bCs w:val="1"/>
          <w:color w:val="auto"/>
        </w:rPr>
      </w:pPr>
    </w:p>
    <w:p>
      <w:pPr>
        <w:ind w:left="162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authorized to issue 1,000,000 shares of preferred stock with a par value of $0.0001 per share with such designation, rights and preferences as may be determined from time to time by the Company’s Board of Directors.</w:t>
      </w:r>
    </w:p>
    <w:p>
      <w:pPr>
        <w:spacing w:after="0" w:line="161" w:lineRule="exact"/>
        <w:rPr>
          <w:rFonts w:ascii="Times New Roman" w:cs="Times New Roman" w:eastAsia="Times New Roman" w:hAnsi="Times New Roman"/>
          <w:sz w:val="18"/>
          <w:szCs w:val="18"/>
          <w:b w:val="1"/>
          <w:bCs w:val="1"/>
          <w:color w:val="auto"/>
        </w:rPr>
      </w:pPr>
    </w:p>
    <w:p>
      <w:pPr>
        <w:jc w:val="both"/>
        <w:ind w:left="16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15, 2024, the Company issued 40,470 and 216,417 Redeemable Convertible Preferred Shares, par value $0.0001 per share, as part of the Acquisition and the March 2024 PIPE (as defined below), respectively. During the year ended December 31, 2025 and 2024, 223 and 109,152 Redeemable Convertible Preferred Shares were converted into 1,174 and 574,484 shares of the Company’s Common Stock,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(Cont.)</w:t>
      </w:r>
    </w:p>
    <w:p>
      <w:pPr>
        <w:spacing w:after="0" w:line="225" w:lineRule="exact"/>
        <w:rPr>
          <w:sz w:val="20"/>
          <w:szCs w:val="20"/>
          <w:color w:val="auto"/>
        </w:rPr>
      </w:pPr>
    </w:p>
    <w:p>
      <w:pPr>
        <w:ind w:left="1620" w:right="7900" w:hanging="640"/>
        <w:spacing w:after="0" w:line="503" w:lineRule="auto"/>
        <w:tabs>
          <w:tab w:leader="none" w:pos="16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(Cont.) Stock Exchange:</w:t>
      </w:r>
    </w:p>
    <w:p>
      <w:pPr>
        <w:ind w:left="162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28, 2019, the Company agreed to issue 10,527 additional shares of Common Stock, on a pro rata basis, if the daily volume weighted average price of the Company’s Common Stock in any 20 trading days within a 30-trading day period prior to January 1, 2026 is greater than or equal to $551.00 per share (with respect to the Company’s Common Stock traded on the NYSE American). As of December 31, 2025, the condition was not achieved and the Company’s conditional undertaking to issue additional shares expired.</w:t>
      </w:r>
    </w:p>
    <w:p>
      <w:pPr>
        <w:spacing w:after="0" w:line="179"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Private Investment in Public Equity:</w:t>
      </w:r>
    </w:p>
    <w:p>
      <w:pPr>
        <w:spacing w:after="0" w:line="229" w:lineRule="exact"/>
        <w:rPr>
          <w:rFonts w:ascii="Times New Roman" w:cs="Times New Roman" w:eastAsia="Times New Roman" w:hAnsi="Times New Roman"/>
          <w:sz w:val="18"/>
          <w:szCs w:val="18"/>
          <w:b w:val="1"/>
          <w:bCs w:val="1"/>
          <w:color w:val="auto"/>
        </w:rPr>
      </w:pPr>
    </w:p>
    <w:p>
      <w:pPr>
        <w:ind w:left="162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15, 2024, the effective date of the Acquisition as described in Note 1C, the Company issued to APT’s former stockholders 48,237 shares of the Company’s Common Stock, 40,470 Redeemable Convertible Preferred Shares and Merger Warrants to purchase up to an aggregate of 11,403 shares of the Company Common Stock. Each share of Redeemable Convertible Preferred Shares is convertible into an aggregate of approximately 6 shares of Common Stock. The Merger Warrants became exercisable on July 9, 2024, at an exercise price of $950.00 per share and will expire on January 28, 2027.</w:t>
      </w:r>
    </w:p>
    <w:p>
      <w:pPr>
        <w:spacing w:after="0" w:line="183" w:lineRule="exact"/>
        <w:rPr>
          <w:rFonts w:ascii="Times New Roman" w:cs="Times New Roman" w:eastAsia="Times New Roman" w:hAnsi="Times New Roman"/>
          <w:sz w:val="18"/>
          <w:szCs w:val="18"/>
          <w:b w:val="1"/>
          <w:bCs w:val="1"/>
          <w:color w:val="auto"/>
        </w:rPr>
      </w:pPr>
    </w:p>
    <w:p>
      <w:pPr>
        <w:ind w:left="162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Redeemable Convertible Preferred Shares are entitled to receive dividends on shares of the Redeemable Convertible Preferred Shares equal to, on an as-if-converted-to Common-Stock basis, and in the same form as, dividends actually paid on shares of the Common Stock. Except as otherwise required by law or with respect to the Redeemable Convertible Preferred Shares protective provisions set forth in the Company’s Certificate of Designations, the Redeemable Convertible Preferred Shares do not have voting rights.</w:t>
      </w:r>
    </w:p>
    <w:p>
      <w:pPr>
        <w:spacing w:after="0" w:line="183" w:lineRule="exact"/>
        <w:rPr>
          <w:rFonts w:ascii="Times New Roman" w:cs="Times New Roman" w:eastAsia="Times New Roman" w:hAnsi="Times New Roman"/>
          <w:sz w:val="18"/>
          <w:szCs w:val="18"/>
          <w:b w:val="1"/>
          <w:bCs w:val="1"/>
          <w:color w:val="auto"/>
        </w:rPr>
      </w:pPr>
    </w:p>
    <w:p>
      <w:pPr>
        <w:ind w:left="16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Concurrently with the consummation of the Acquisition, the Company consummated a private placement (the “March 2024 PIPE”) with certain investors pursuant to which, such investors purchased an aggregate of 216,417 Redeemable Convertible Preferred Shares (“PIPE Preferred Shares”) and warrants to purchase up to an aggregate of 569,519 shares of the Company’s Common Stock (the “Private Placement Warrants”), at a combined price of $4,390.9 per PIPE Preferred Share and an accompanying Private Placement Warrant to purchase 3 shares of common stock. The PIPE Preferred Shares and the Private Placement Warrants were issued in a private placement pursuant to an exemption from registration requirements under the Securities Act for aggregate gross proceeds of $50,000. Each Private Placement Warrant’s exercise price equals to $43.9 per share, subject to customary adjustments for stock dividends, stock splits, reclassifications and the like, became exercisable on July 9, 2024, and will expire on July 9, 2026. Under certain circumstances, the Company may be required to pay to each holder of the Private Placement Warrants (i) an amount in cash equal to the holder’s total purchase price for the shares of Common Stock purchased (the “Buy-In Price”) or credit such holder’s balance account with the Depository Trust Company (“DTC”) for such shares of Common Stock shall terminate, or (ii) promptly honor its obligation to deliver to such holder a certificate or certificates representing such shares of Common Stock or credit such holder’s balance account with DTC, as applicable, and pay cash to such holder in an amount equal to the excess (if any) of the Buy-In Price over the product of (A) such number of shares of Common Stock, times (B) Weighted Average Price (as defined in the Private Placement Warrant) on the trading day immediately preceding the exercise date. On February 25, 2025, 6,955,528 Private Placement Warrants to purchase up to 366,087 were repriced and exercised under the Inducement Letter Agreements as defined and described below.</w:t>
      </w:r>
    </w:p>
    <w:p>
      <w:pPr>
        <w:spacing w:after="0" w:line="193" w:lineRule="exact"/>
        <w:rPr>
          <w:sz w:val="20"/>
          <w:szCs w:val="20"/>
          <w:color w:val="auto"/>
        </w:rPr>
      </w:pPr>
    </w:p>
    <w:p>
      <w:pPr>
        <w:jc w:val="both"/>
        <w:ind w:left="1660"/>
        <w:spacing w:after="0" w:line="282" w:lineRule="auto"/>
        <w:rPr>
          <w:sz w:val="20"/>
          <w:szCs w:val="20"/>
          <w:color w:val="auto"/>
        </w:rPr>
      </w:pPr>
      <w:r>
        <w:rPr>
          <w:rFonts w:ascii="Times New Roman" w:cs="Times New Roman" w:eastAsia="Times New Roman" w:hAnsi="Times New Roman"/>
          <w:sz w:val="18"/>
          <w:szCs w:val="18"/>
          <w:color w:val="auto"/>
        </w:rPr>
        <w:t>In connection therewith, the Company issued warrants to purchase shares of the Company’s Common Stock to the placement agents for the March 2024 PIPE (the “Agents Warrants”). See Note 12B for further information.</w:t>
      </w:r>
    </w:p>
    <w:p>
      <w:pPr>
        <w:spacing w:after="0" w:line="162" w:lineRule="exact"/>
        <w:rPr>
          <w:sz w:val="20"/>
          <w:szCs w:val="20"/>
          <w:color w:val="auto"/>
        </w:rPr>
      </w:pPr>
    </w:p>
    <w:p>
      <w:pPr>
        <w:jc w:val="both"/>
        <w:ind w:left="1660"/>
        <w:spacing w:after="0" w:line="261" w:lineRule="auto"/>
        <w:rPr>
          <w:sz w:val="20"/>
          <w:szCs w:val="20"/>
          <w:color w:val="auto"/>
        </w:rPr>
      </w:pPr>
      <w:r>
        <w:rPr>
          <w:rFonts w:ascii="Times New Roman" w:cs="Times New Roman" w:eastAsia="Times New Roman" w:hAnsi="Times New Roman"/>
          <w:sz w:val="18"/>
          <w:szCs w:val="18"/>
          <w:color w:val="auto"/>
        </w:rPr>
        <w:t>The Company accounted for the Private Placement Warrants as liabilities as the Private Placement Warrants are not considered indexed to the entity’s own stock based on the provision of ASC 815, “Derivatives and hedging” (“ASC 815”). The Private Placement Warrants are measured at fair value at inception and in subsequent reporting periods with changes in fair value recognized in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(Cont.)</w:t>
      </w:r>
    </w:p>
    <w:p>
      <w:pPr>
        <w:spacing w:after="0" w:line="225" w:lineRule="exact"/>
        <w:rPr>
          <w:sz w:val="20"/>
          <w:szCs w:val="20"/>
          <w:color w:val="auto"/>
        </w:rPr>
      </w:pPr>
    </w:p>
    <w:p>
      <w:pPr>
        <w:ind w:left="1620" w:hanging="640"/>
        <w:spacing w:after="0"/>
        <w:tabs>
          <w:tab w:leader="none" w:pos="16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(Cont.)</w:t>
      </w:r>
    </w:p>
    <w:p>
      <w:pPr>
        <w:spacing w:after="0" w:line="225"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Private Investment in Public Equity: (Cont.)</w:t>
      </w:r>
    </w:p>
    <w:p>
      <w:pPr>
        <w:spacing w:after="0" w:line="229" w:lineRule="exact"/>
        <w:rPr>
          <w:rFonts w:ascii="Times New Roman" w:cs="Times New Roman" w:eastAsia="Times New Roman" w:hAnsi="Times New Roman"/>
          <w:sz w:val="18"/>
          <w:szCs w:val="18"/>
          <w:b w:val="1"/>
          <w:bCs w:val="1"/>
          <w:color w:val="auto"/>
        </w:rPr>
      </w:pPr>
    </w:p>
    <w:p>
      <w:pPr>
        <w:ind w:left="16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25, 2025, the Company entered into a Securities Purchase Agreement with certain institutional and accredited investors, pursuant to which the Company agreed to issue and sell in a registered direct offering (the “February 2025 Registered Direct Offering”) an aggregate of 148,857 shares of the Company’s Common Stock, pre-funded warrants (the “Registered Pre-Funded Warrants”) to purchase up to an aggregate of 42,381 shares of Common Stock, and in a concurrent private placement (the “February 2025 PIPE”, and together with the February 2025 Registered Direct Offering, the “February 2025 SPA”), (a) unregistered pre-funded warrants (the “Private Pre-Funded Warrants”) to purchase up to an aggregate of 121,362 shares of Common Stock at an exercise price of $0.0019 per share and (b) unregistered warrants (the “Common Warrants”, and together with the Private Pre-Funded Warrants, the “Private Warrants”) to purchase up to an aggregate of 312,599 shares of Common Stock at an exercise price of $17.68 per share. Each share of Common Stock (or Registered Pre-Funded Warrant in lieu thereof) and Private Pre-Funded Warrant were sold with an accompanying Common Warrant. The combined effective purchase price of each share of Common Stock (or Registered Pre-Funded Warrant in lieu thereof) and accompanying Common Warrant, and of each Private Pre-Funded Warrant and accompanying Common Warrant, is $17.68. The Common Warrants became exercisable on the effective date of stockholder approval of the issuance of the shares of Common Stock upon exercise of the Private Warrants (the “Stockholder Approval Date”), which was obtained on April 21, 2025, and will expire on the five-year anniversary of the Stockholder Approval Date. The gross proceeds to the Company from the February 2025 SPA were $5,527, before deducting placement agent fees and other offering expenses payable by the Company of $657. During the year ended December 31, 2025, 547,728 Private Pre-Funded Warrants and 1,917 Common Warrants were exercised at an exercise price of $0.0019 and $17.68 per share, respectively, into 28,929 shares of Common Stock. Additionally, 879,761 Private Pre-Funded Warrants were exercised into 46,294 shares of Common Stock through cashless mechanism for no additional consideration.</w:t>
      </w:r>
    </w:p>
    <w:p>
      <w:pPr>
        <w:spacing w:after="0" w:line="190" w:lineRule="exact"/>
        <w:rPr>
          <w:rFonts w:ascii="Times New Roman" w:cs="Times New Roman" w:eastAsia="Times New Roman" w:hAnsi="Times New Roman"/>
          <w:sz w:val="18"/>
          <w:szCs w:val="18"/>
          <w:b w:val="1"/>
          <w:bCs w:val="1"/>
          <w:color w:val="auto"/>
        </w:rPr>
      </w:pPr>
    </w:p>
    <w:p>
      <w:pPr>
        <w:jc w:val="both"/>
        <w:ind w:left="162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accounted for the Common Warrants as liabilities as they are not considered indexed to the entity’s own stock based on the provision of ASC 815. The Common Warrants were measured at fair value at inception and in subsequent reporting periods with changes in fair value recognized in the consolidated financial statements.</w:t>
      </w:r>
    </w:p>
    <w:p>
      <w:pPr>
        <w:spacing w:after="0" w:line="175" w:lineRule="exact"/>
        <w:rPr>
          <w:rFonts w:ascii="Times New Roman" w:cs="Times New Roman" w:eastAsia="Times New Roman" w:hAnsi="Times New Roman"/>
          <w:sz w:val="18"/>
          <w:szCs w:val="18"/>
          <w:b w:val="1"/>
          <w:bCs w:val="1"/>
          <w:color w:val="auto"/>
        </w:rPr>
      </w:pPr>
    </w:p>
    <w:p>
      <w:pPr>
        <w:ind w:left="162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allocated the total consideration from the February 2025 SPA first to the fair value of the Common Warrants and then to the Company’s Common Stock, Registered Pre-Funded Warrants and Private Pre-Funded Warrants. The transaction costs were allocated in the same manner as the consideration. Issuance costs which were allocated to the Common Warrants were $539 and were expensed immediately, and issuance costs that were allocated to the Company’s Common Stock, Registered Pre-Funded Warrants and Private Pre-Funded Warrants were $118 and were deducted from Additional paid in capital.</w:t>
      </w:r>
    </w:p>
    <w:p>
      <w:pPr>
        <w:spacing w:after="0" w:line="183" w:lineRule="exact"/>
        <w:rPr>
          <w:rFonts w:ascii="Times New Roman" w:cs="Times New Roman" w:eastAsia="Times New Roman" w:hAnsi="Times New Roman"/>
          <w:sz w:val="18"/>
          <w:szCs w:val="18"/>
          <w:b w:val="1"/>
          <w:bCs w:val="1"/>
          <w:color w:val="auto"/>
        </w:rPr>
      </w:pPr>
    </w:p>
    <w:p>
      <w:pPr>
        <w:ind w:left="16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Concurrently with the February 2025 SPA on February 25, 2025, the Company entered into inducement letter agreements (the “Inducement Letter Agreements”) with certain holders (the “Holders”) of the Company’s Private Placement Warrants issued on March 2024 PIPE, to purchase an aggregate of 366,087 shares of Common Stock, having an original exercise price of $43.91 per share (the “Existing Warrants”). Pursuant to the Inducement Letter Agreements, the Holders agreed to exercise for cash the Existing Warrants at a reduced exercise price of $17.68 per share in consideration of the Company’s agreement to issue new unregistered warrants (the “Inducement Warrants”) to purchase up to an aggregate of 366,087 shares of Common Stock. Under the Inducement Letter Agreements, the Company issued 208,479 shares of Common Stock and amended and restated warrants (the “A&amp;R Warrants”) to purchase up to 157,603 shares of Common Stock at an exercise price of $0.0019 per share. The Inducement Warrants have an exercise price of $17.68 per share and became exercisable on Stockholder Approval Date, which was obtained on April 21, 2025 and will expire on the five-year anniversary of the Stockholder Approval Date. The benefit from the repricing in the amount of $3,300 was recorded as an expense within Income from change in fair value of warrants in the consolidated statements of operations. The gross proceeds to the Company from the Existing Warrants exercise were $6,473 prior to deducting placement agent fees and offering expenses of $412.</w:t>
      </w:r>
    </w:p>
    <w:p>
      <w:pPr>
        <w:spacing w:after="0" w:line="187" w:lineRule="exact"/>
        <w:rPr>
          <w:rFonts w:ascii="Times New Roman" w:cs="Times New Roman" w:eastAsia="Times New Roman" w:hAnsi="Times New Roman"/>
          <w:sz w:val="18"/>
          <w:szCs w:val="18"/>
          <w:b w:val="1"/>
          <w:bCs w:val="1"/>
          <w:color w:val="auto"/>
        </w:rPr>
      </w:pPr>
    </w:p>
    <w:p>
      <w:pPr>
        <w:ind w:left="1620" w:righ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Inducement Warrants are substantially the same as those of the Common Warrants and were accounted for as liabilities.</w:t>
      </w:r>
    </w:p>
    <w:p>
      <w:pPr>
        <w:spacing w:after="0" w:line="157"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At-the-market Sales Agreement:</w:t>
      </w:r>
    </w:p>
    <w:p>
      <w:pPr>
        <w:spacing w:after="0" w:line="229" w:lineRule="exact"/>
        <w:rPr>
          <w:rFonts w:ascii="Times New Roman" w:cs="Times New Roman" w:eastAsia="Times New Roman" w:hAnsi="Times New Roman"/>
          <w:sz w:val="18"/>
          <w:szCs w:val="18"/>
          <w:b w:val="1"/>
          <w:bCs w:val="1"/>
          <w:color w:val="auto"/>
        </w:rPr>
      </w:pPr>
    </w:p>
    <w:p>
      <w:pPr>
        <w:ind w:left="16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13, 2025, the Company filed a prospectus supplement to amend and supplement its prospectus dated January 2, 2024, and as previously supplemented on February 24, 2025, filed under its registration statement on Form S-3 in connection with its At the Market Offering Agreement (the “ATM”) with H.C. Wainwright &amp; Co., LLC (“Wainwright”). The prospectus supplement updated the maximum aggregate amount of securities the Company may offer and sell under the ATM. Under the prospectus supplement, the Company may issue and sell shares of its Common Stock having an aggregate offering price of up to $1,766 from time to time through Wainwright. During the year ended December 31, 2025, the Company sold 121,773 shares of Common Stock under this agreement, at an average price of $11.13 per share, raising aggregate net proceeds of approximately $1,305, after deducting an aggregate commission of $51.</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285"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(Cont.)</w:t>
      </w:r>
    </w:p>
    <w:p>
      <w:pPr>
        <w:spacing w:after="0" w:line="225" w:lineRule="exact"/>
        <w:rPr>
          <w:sz w:val="20"/>
          <w:szCs w:val="20"/>
          <w:color w:val="auto"/>
        </w:rPr>
      </w:pPr>
    </w:p>
    <w:p>
      <w:pPr>
        <w:ind w:left="1620" w:right="7900" w:hanging="640"/>
        <w:spacing w:after="0" w:line="503" w:lineRule="auto"/>
        <w:tabs>
          <w:tab w:leader="none" w:pos="16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(Cont.) Warrants:</w:t>
      </w: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Company had the following outstanding warrants to purchase Common Stock issued to stockholders: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r>
      <w:tr>
        <w:trPr>
          <w:trHeight w:val="24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Pr>
          <w:p>
            <w:pPr>
              <w:spacing w:after="0"/>
              <w:rPr>
                <w:sz w:val="21"/>
                <w:szCs w:val="2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Registered Direct Offering Warrants</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28, 2021</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28, 2027</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Warrants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January 28, 2027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11,404</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July 9, 2026</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43.91</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203,444</w:t>
            </w: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Pre-Funded Warrants</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21, 2030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0.0019</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42,381</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Pre-Funded Warrants</w:t>
            </w:r>
          </w:p>
        </w:tc>
        <w:tc>
          <w:tcPr>
            <w:tcW w:w="1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April 21, 2030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0.0019</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46,232</w:t>
            </w: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Warrants</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21, 2030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312,503</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 Warrants</w:t>
            </w:r>
          </w:p>
        </w:tc>
        <w:tc>
          <w:tcPr>
            <w:tcW w:w="1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April 21, 2030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366,087</w:t>
            </w:r>
          </w:p>
        </w:tc>
      </w:tr>
      <w:tr>
        <w:trPr>
          <w:trHeight w:val="23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A&amp;R Warrants</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21, 2030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0.0019</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157,603</w:t>
            </w:r>
          </w:p>
        </w:tc>
      </w:tr>
      <w:tr>
        <w:trPr>
          <w:trHeight w:val="223"/>
        </w:trPr>
        <w:tc>
          <w:tcPr>
            <w:tcW w:w="49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1620" w:right="7520" w:hanging="640"/>
        <w:spacing w:after="0" w:line="503" w:lineRule="auto"/>
        <w:tabs>
          <w:tab w:leader="none" w:pos="16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Equity Incentive Plan:</w:t>
      </w:r>
    </w:p>
    <w:p>
      <w:pPr>
        <w:ind w:left="162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2015, the Board of Directors of BiomX Israel approved a plan for the allocation of options to employees, service providers, and officers (the “2015 Plan”). The options represented a right to purchase one Ordinary Share of the BiomX Israel in consideration of the payment of an exercise price. Also, the options were granted in accordance with the “capital gains route” under section 102 and section 3(i) of the Israeli Income Tax Ordinance and section 409A of the U.S. Internal Revenue Code as technically adjusted following the Recapitalization Transaction on October 28, 2019.</w:t>
      </w:r>
    </w:p>
    <w:p>
      <w:pPr>
        <w:spacing w:after="0" w:line="183"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there are no shares of Common Stock remaining for issuance under the 2015 Plan.</w:t>
      </w:r>
    </w:p>
    <w:p>
      <w:pPr>
        <w:spacing w:after="0" w:line="225"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2019, the Company adopted a new incentive plan (the “2019 Plan”) to grant 53 options, exercisable for Common Stock.</w:t>
      </w:r>
    </w:p>
    <w:p>
      <w:pPr>
        <w:spacing w:after="0" w:line="225" w:lineRule="exact"/>
        <w:rPr>
          <w:rFonts w:ascii="Times New Roman" w:cs="Times New Roman" w:eastAsia="Times New Roman" w:hAnsi="Times New Roman"/>
          <w:sz w:val="18"/>
          <w:szCs w:val="18"/>
          <w:b w:val="1"/>
          <w:bCs w:val="1"/>
          <w:color w:val="auto"/>
        </w:rPr>
      </w:pPr>
    </w:p>
    <w:p>
      <w:pPr>
        <w:ind w:left="162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number of shares of Common Stock that may be delivered pursuant to the 2019 Plan will automatically increase on January 1 of each year, commencing on January 1, 2020 and ending on (and including) January 1, 2029, in an amount equal to four percent (4%) of the total number of shares of Common Stock outstanding on December 31 of the preceding calendar year.</w:t>
      </w:r>
    </w:p>
    <w:p>
      <w:pPr>
        <w:spacing w:after="0" w:line="175" w:lineRule="exact"/>
        <w:rPr>
          <w:rFonts w:ascii="Times New Roman" w:cs="Times New Roman" w:eastAsia="Times New Roman" w:hAnsi="Times New Roman"/>
          <w:sz w:val="18"/>
          <w:szCs w:val="18"/>
          <w:b w:val="1"/>
          <w:bCs w:val="1"/>
          <w:color w:val="auto"/>
        </w:rPr>
      </w:pPr>
    </w:p>
    <w:p>
      <w:pPr>
        <w:ind w:left="162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the Board may act prior to January 1 of a given year to provide that there will be no January 1 increase for such year or that the increase for such year will be a lesser number of shares of Common Stock than provided herein.</w:t>
      </w:r>
    </w:p>
    <w:p>
      <w:pPr>
        <w:spacing w:after="0" w:line="161" w:lineRule="exact"/>
        <w:rPr>
          <w:rFonts w:ascii="Times New Roman" w:cs="Times New Roman" w:eastAsia="Times New Roman" w:hAnsi="Times New Roman"/>
          <w:sz w:val="18"/>
          <w:szCs w:val="18"/>
          <w:b w:val="1"/>
          <w:bCs w:val="1"/>
          <w:color w:val="auto"/>
        </w:rPr>
      </w:pPr>
    </w:p>
    <w:p>
      <w:pPr>
        <w:jc w:val="both"/>
        <w:ind w:left="162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9, 2024, the Company’s stockholders approved increasing the number of shares of Common Stock under the Company’s 2019 Plan to be equal to 15% of the total number of fully-diluted shares of Common Stock outstanding as of the approval date, or 410,527 shares.</w:t>
      </w:r>
    </w:p>
    <w:p>
      <w:pPr>
        <w:spacing w:after="0" w:line="175" w:lineRule="exact"/>
        <w:rPr>
          <w:rFonts w:ascii="Times New Roman" w:cs="Times New Roman" w:eastAsia="Times New Roman" w:hAnsi="Times New Roman"/>
          <w:sz w:val="18"/>
          <w:szCs w:val="18"/>
          <w:b w:val="1"/>
          <w:bCs w:val="1"/>
          <w:color w:val="auto"/>
        </w:rPr>
      </w:pPr>
    </w:p>
    <w:p>
      <w:pPr>
        <w:ind w:left="162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 2026, the number of shares of Common Stock available to grant under the 2019 Plan was increased by 63,748. As of December 31, 2025, there were 440,095 shares of Common Stock remaining for issuance under the 2019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(Cont.)</w:t>
      </w:r>
    </w:p>
    <w:p>
      <w:pPr>
        <w:spacing w:after="0" w:line="225" w:lineRule="exact"/>
        <w:rPr>
          <w:sz w:val="20"/>
          <w:szCs w:val="20"/>
          <w:color w:val="auto"/>
        </w:rPr>
      </w:pPr>
    </w:p>
    <w:p>
      <w:pPr>
        <w:ind w:left="1620" w:right="6920" w:hanging="640"/>
        <w:spacing w:after="0" w:line="503" w:lineRule="auto"/>
        <w:tabs>
          <w:tab w:leader="none" w:pos="16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(Cont.) Stock Options:</w:t>
      </w:r>
    </w:p>
    <w:p>
      <w:pPr>
        <w:ind w:left="1620" w:right="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15, 2024, the Company issued Agents Warrants to purchase up to an aggregate of 50,126 shares of the Company’s Common Stock to the Placement Agents in connection with the March 2024 PIPE. The exercise price of the Agents Warrants is $43.91 per share and they became exercisable at any time after the date of the receipt of BiomX stockholder approval, which was obtained on July 9, 2024, and will expire on July 9, 2026.</w:t>
      </w:r>
    </w:p>
    <w:p>
      <w:pPr>
        <w:spacing w:after="0" w:line="179" w:lineRule="exact"/>
        <w:rPr>
          <w:rFonts w:ascii="Times New Roman" w:cs="Times New Roman" w:eastAsia="Times New Roman" w:hAnsi="Times New Roman"/>
          <w:sz w:val="18"/>
          <w:szCs w:val="18"/>
          <w:b w:val="1"/>
          <w:bCs w:val="1"/>
          <w:color w:val="auto"/>
        </w:rPr>
      </w:pPr>
    </w:p>
    <w:p>
      <w:pPr>
        <w:ind w:left="162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accounted for the Agents Warrants under the scope of ASC 718-10, and treated them as issuance costs of the March 2024 PIPE as the Company considers these Warrants as consideration for receipt of Private Placement Services.</w:t>
      </w:r>
    </w:p>
    <w:p>
      <w:pPr>
        <w:spacing w:after="0" w:line="162" w:lineRule="exact"/>
        <w:rPr>
          <w:sz w:val="20"/>
          <w:szCs w:val="20"/>
          <w:color w:val="auto"/>
        </w:rPr>
      </w:pPr>
    </w:p>
    <w:p>
      <w:pPr>
        <w:ind w:left="1620" w:right="50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Agents Warrants using the Black-Scholes model as of March 5, 2024. The main assumptions used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value of Common Stock ($)</w:t>
            </w:r>
          </w:p>
        </w:tc>
        <w:tc>
          <w:tcPr>
            <w:tcW w:w="4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43.91</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w:t>
            </w:r>
          </w:p>
        </w:tc>
        <w:tc>
          <w:tcPr>
            <w:tcW w:w="4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43.91</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4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4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4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0" w:lineRule="exact"/>
        <w:rPr>
          <w:sz w:val="20"/>
          <w:szCs w:val="20"/>
          <w:color w:val="auto"/>
        </w:rPr>
      </w:pPr>
    </w:p>
    <w:p>
      <w:pPr>
        <w:spacing w:after="0" w:line="214" w:lineRule="exact"/>
        <w:rPr>
          <w:sz w:val="20"/>
          <w:szCs w:val="20"/>
          <w:color w:val="auto"/>
        </w:rPr>
      </w:pPr>
    </w:p>
    <w:p>
      <w:pPr>
        <w:ind w:left="1620" w:right="280"/>
        <w:spacing w:after="0" w:line="261" w:lineRule="auto"/>
        <w:rPr>
          <w:sz w:val="20"/>
          <w:szCs w:val="20"/>
          <w:color w:val="auto"/>
        </w:rPr>
      </w:pPr>
      <w:r>
        <w:rPr>
          <w:rFonts w:ascii="Times New Roman" w:cs="Times New Roman" w:eastAsia="Times New Roman" w:hAnsi="Times New Roman"/>
          <w:sz w:val="18"/>
          <w:szCs w:val="18"/>
          <w:color w:val="auto"/>
        </w:rPr>
        <w:t>On July 11, 2024, the Board of Directors approved the grant of 82,541 options to 51 employees, six senior officers and seven directors under the 2019 Plan, without consideration. Options were granted at an exercise price of $68.97 per share with a vesting period of four years. Directors and senior officers are entitled to full acceleration of their unvested options upon the occurrence of both a change in control of the Company and the end of their engagement with the Company.</w:t>
      </w:r>
    </w:p>
    <w:p>
      <w:pPr>
        <w:spacing w:after="0" w:line="180" w:lineRule="exact"/>
        <w:rPr>
          <w:sz w:val="20"/>
          <w:szCs w:val="20"/>
          <w:color w:val="auto"/>
        </w:rPr>
      </w:pPr>
    </w:p>
    <w:p>
      <w:pPr>
        <w:jc w:val="both"/>
        <w:ind w:left="1620"/>
        <w:spacing w:after="0" w:line="258" w:lineRule="auto"/>
        <w:rPr>
          <w:sz w:val="20"/>
          <w:szCs w:val="20"/>
          <w:color w:val="auto"/>
        </w:rPr>
      </w:pPr>
      <w:r>
        <w:rPr>
          <w:rFonts w:ascii="Times New Roman" w:cs="Times New Roman" w:eastAsia="Times New Roman" w:hAnsi="Times New Roman"/>
          <w:sz w:val="18"/>
          <w:szCs w:val="18"/>
          <w:color w:val="auto"/>
        </w:rPr>
        <w:t>On April 14, 2025, the Board of Directors approved the grant of 63,716 options to 37 employees, three senior officers and seven directors under the Company’s 2019 Omnibus Long-Term Incentive Plan, without consideration. Options were granted at an exercise price of $10.22 per share with a vesting period of four years. Directors and senior officers are entitled to full acceleration of their unvested options upon the occurrence of both a change in control of the Company and the end of their engagement with the Company.</w:t>
      </w:r>
    </w:p>
    <w:p>
      <w:pPr>
        <w:spacing w:after="0" w:line="183" w:lineRule="exact"/>
        <w:rPr>
          <w:sz w:val="20"/>
          <w:szCs w:val="20"/>
          <w:color w:val="auto"/>
        </w:rPr>
      </w:pPr>
    </w:p>
    <w:p>
      <w:pPr>
        <w:ind w:left="1620" w:right="60"/>
        <w:spacing w:after="0" w:line="282" w:lineRule="auto"/>
        <w:rPr>
          <w:sz w:val="20"/>
          <w:szCs w:val="20"/>
          <w:color w:val="auto"/>
        </w:rPr>
      </w:pPr>
      <w:r>
        <w:rPr>
          <w:rFonts w:ascii="Times New Roman" w:cs="Times New Roman" w:eastAsia="Times New Roman" w:hAnsi="Times New Roman"/>
          <w:sz w:val="18"/>
          <w:szCs w:val="18"/>
          <w:color w:val="auto"/>
        </w:rPr>
        <w:t>The fair value of each option was estimated as of the date of grant using the Black-Scholes option-pricing model using the following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1"/>
                <w:szCs w:val="21"/>
                <w:color w:val="auto"/>
              </w:rPr>
            </w:pPr>
          </w:p>
        </w:tc>
        <w:tc>
          <w:tcPr>
            <w:tcW w:w="5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1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value of Common Stock ($)</w:t>
            </w:r>
          </w:p>
        </w:tc>
        <w:tc>
          <w:tcPr>
            <w:tcW w:w="5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68.97</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w:t>
            </w:r>
          </w:p>
        </w:tc>
        <w:tc>
          <w:tcPr>
            <w:tcW w:w="5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68.97</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5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of the option (years)</w:t>
            </w:r>
          </w:p>
        </w:tc>
        <w:tc>
          <w:tcPr>
            <w:tcW w:w="5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5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655"/>
        </w:trPr>
        <w:tc>
          <w:tcPr>
            <w:tcW w:w="41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F-32</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(Cont.)</w:t>
      </w:r>
    </w:p>
    <w:p>
      <w:pPr>
        <w:spacing w:after="0" w:line="225" w:lineRule="exact"/>
        <w:rPr>
          <w:sz w:val="20"/>
          <w:szCs w:val="20"/>
          <w:color w:val="auto"/>
        </w:rPr>
      </w:pPr>
    </w:p>
    <w:p>
      <w:pPr>
        <w:ind w:left="1620" w:hanging="640"/>
        <w:spacing w:after="0"/>
        <w:tabs>
          <w:tab w:leader="none" w:pos="16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(Cont.)</w:t>
      </w:r>
    </w:p>
    <w:p>
      <w:pPr>
        <w:spacing w:after="0" w:line="225"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 (Cont.)</w:t>
      </w:r>
    </w:p>
    <w:p>
      <w:pPr>
        <w:spacing w:after="0" w:line="229" w:lineRule="exact"/>
        <w:rPr>
          <w:rFonts w:ascii="Times New Roman" w:cs="Times New Roman" w:eastAsia="Times New Roman" w:hAnsi="Times New Roman"/>
          <w:sz w:val="18"/>
          <w:szCs w:val="18"/>
          <w:b w:val="1"/>
          <w:bCs w:val="1"/>
          <w:color w:val="auto"/>
        </w:rPr>
      </w:pPr>
    </w:p>
    <w:p>
      <w:pPr>
        <w:ind w:left="162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fair value embodied in the options granted in 2025 and 2024 at the grant date, is estimated to be $728 and $4,870 respectively. These amounts will be recognized in statements of operations over the vesting period.</w:t>
      </w:r>
    </w:p>
    <w:p>
      <w:pPr>
        <w:spacing w:after="0" w:line="161" w:lineRule="exact"/>
        <w:rPr>
          <w:rFonts w:ascii="Times New Roman" w:cs="Times New Roman" w:eastAsia="Times New Roman" w:hAnsi="Times New Roman"/>
          <w:sz w:val="18"/>
          <w:szCs w:val="18"/>
          <w:b w:val="1"/>
          <w:bCs w:val="1"/>
          <w:color w:val="auto"/>
        </w:rPr>
      </w:pPr>
    </w:p>
    <w:p>
      <w:pPr>
        <w:ind w:left="162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unrecognized compensation cost related to all unvested, equity classified stock options of $1,532 is expected to be recognized as an expense on a graded vesting method over a weighted-average period of 2.5 years.</w:t>
      </w:r>
    </w:p>
    <w:p>
      <w:pPr>
        <w:spacing w:after="0" w:line="16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options granted to purchase the Company’s Common Stock under the Company’s stock option plans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year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2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the beginning of period</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105,525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0.79</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the end of period</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150,387</w:t>
            </w:r>
          </w:p>
        </w:tc>
        <w:tc>
          <w:tcPr>
            <w:tcW w:w="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1180" w:type="dxa"/>
            <w:vAlign w:val="bottom"/>
            <w:tcBorders>
              <w:top w:val="single" w:sz="8" w:color="CCEEFF"/>
              <w:bottom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51.94</w:t>
            </w:r>
          </w:p>
        </w:tc>
        <w:tc>
          <w:tcPr>
            <w:tcW w:w="140" w:type="dxa"/>
            <w:vAlign w:val="bottom"/>
            <w:tcBorders>
              <w:top w:val="single" w:sz="8" w:color="CCEEFF"/>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92.45</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 years as of December 31, 2025</w:t>
            </w: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29" w:lineRule="exact"/>
        <w:rPr>
          <w:sz w:val="20"/>
          <w:szCs w:val="20"/>
          <w:color w:val="auto"/>
        </w:rPr>
      </w:pPr>
    </w:p>
    <w:p>
      <w:pPr>
        <w:ind w:left="1620" w:right="100"/>
        <w:spacing w:after="0" w:line="266" w:lineRule="auto"/>
        <w:rPr>
          <w:sz w:val="20"/>
          <w:szCs w:val="20"/>
          <w:color w:val="auto"/>
        </w:rPr>
      </w:pPr>
      <w:r>
        <w:rPr>
          <w:rFonts w:ascii="Times New Roman" w:cs="Times New Roman" w:eastAsia="Times New Roman" w:hAnsi="Times New Roman"/>
          <w:sz w:val="18"/>
          <w:szCs w:val="18"/>
          <w:color w:val="auto"/>
        </w:rPr>
        <w:t>On September 16, 2024, the Company granted 8,182 RSUs to four senior officers and one service provider. The RSUs were fully vested and issued on the grant date and are not subject to continued service to the Company. The RSUs’ fair value is the Company’s stock closing price as of the grant date, which was $18.81.</w:t>
      </w:r>
    </w:p>
    <w:p>
      <w:pPr>
        <w:spacing w:after="0" w:line="176" w:lineRule="exact"/>
        <w:rPr>
          <w:sz w:val="20"/>
          <w:szCs w:val="20"/>
          <w:color w:val="auto"/>
        </w:rPr>
      </w:pPr>
    </w:p>
    <w:p>
      <w:pPr>
        <w:ind w:left="1620" w:right="20"/>
        <w:spacing w:after="0" w:line="266" w:lineRule="auto"/>
        <w:rPr>
          <w:sz w:val="20"/>
          <w:szCs w:val="20"/>
          <w:color w:val="auto"/>
        </w:rPr>
      </w:pPr>
      <w:r>
        <w:rPr>
          <w:rFonts w:ascii="Times New Roman" w:cs="Times New Roman" w:eastAsia="Times New Roman" w:hAnsi="Times New Roman"/>
          <w:sz w:val="18"/>
          <w:szCs w:val="18"/>
          <w:color w:val="auto"/>
        </w:rPr>
        <w:t>On April 14, 2025, the Company granted 14,469 RSUs to three senior officers. The RSUs were fully vested and issued on the grant date and are not subject to continued service with the Company. Each RSU’s fair value is the Company’s stock closing price as of the grant date, which was $10.22. As of December 31, 2025, the Company has no unvested RSUs.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(Cont.)</w:t>
      </w:r>
    </w:p>
    <w:p>
      <w:pPr>
        <w:spacing w:after="0" w:line="225" w:lineRule="exact"/>
        <w:rPr>
          <w:sz w:val="20"/>
          <w:szCs w:val="20"/>
          <w:color w:val="auto"/>
        </w:rPr>
      </w:pPr>
    </w:p>
    <w:p>
      <w:pPr>
        <w:ind w:left="1620" w:right="6920" w:hanging="640"/>
        <w:spacing w:after="0" w:line="503" w:lineRule="auto"/>
        <w:tabs>
          <w:tab w:leader="none" w:pos="16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(Cont.) Warrants:</w:t>
      </w:r>
    </w:p>
    <w:p>
      <w:pPr>
        <w:ind w:left="1620"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the Company had the following outstanding compensation related warrants to purchase Common Stock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r>
      <w:tr>
        <w:trPr>
          <w:trHeight w:val="24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6"/>
        </w:trPr>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Warrants issued to scientific founders*</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27, 2017</w:t>
            </w: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 Warrants**</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January 28, 2027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tcPr>
          <w:p>
            <w:pPr>
              <w:spacing w:after="0"/>
              <w:rPr>
                <w:sz w:val="18"/>
                <w:szCs w:val="18"/>
                <w:color w:val="auto"/>
              </w:rPr>
            </w:pPr>
          </w:p>
        </w:tc>
      </w:tr>
      <w:tr>
        <w:trPr>
          <w:trHeight w:val="250"/>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Agents Warrants</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9, 2026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50,126</w:t>
            </w:r>
          </w:p>
        </w:tc>
        <w:tc>
          <w:tcPr>
            <w:tcW w:w="80" w:type="dxa"/>
            <w:vAlign w:val="bottom"/>
            <w:shd w:val="clear" w:color="auto" w:fill="CCEEFF"/>
          </w:tcPr>
          <w:p>
            <w:pPr>
              <w:spacing w:after="0"/>
              <w:rPr>
                <w:sz w:val="21"/>
                <w:szCs w:val="21"/>
                <w:color w:val="auto"/>
              </w:rPr>
            </w:pPr>
          </w:p>
        </w:tc>
      </w:tr>
      <w:tr>
        <w:trPr>
          <w:trHeight w:val="210"/>
        </w:trPr>
        <w:tc>
          <w:tcPr>
            <w:tcW w:w="4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51,458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287"/>
        <w:spacing w:after="0" w:line="257"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2017, BiomX Israel issued 298 warrants to its founders. The warrants were fully vested at their grant date and will expire immediately prior to a consummation of an M&amp;A transaction. The warrants did not expire as a result of the Recapitalization Transaction and have no exercise price. The Merger Agreement as described in note 1C does not apply for such M&amp;A transaction as defined in the grant agreement.</w:t>
      </w:r>
    </w:p>
    <w:p>
      <w:pPr>
        <w:spacing w:after="0" w:line="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See Note 5</w:t>
      </w:r>
    </w:p>
    <w:p>
      <w:pPr>
        <w:spacing w:after="0" w:line="207" w:lineRule="exact"/>
        <w:rPr>
          <w:sz w:val="20"/>
          <w:szCs w:val="20"/>
          <w:color w:val="auto"/>
        </w:rPr>
      </w:pPr>
    </w:p>
    <w:p>
      <w:pPr>
        <w:ind w:left="1620"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stock-based payment expenses resulting from options, RSUs and warrants granted, included in the 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20" w:right="10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expenses in connection with options and RSUs granted to executive officers of the Company in the amount of $1,018 and $811 for the years ended December 31,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RESEARCH AND DEVELOPMENT EXPENSES, NET</w:t>
            </w:r>
          </w:p>
        </w:tc>
        <w:tc>
          <w:tcPr>
            <w:tcW w:w="3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 and subcontractors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13,230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related expenses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4,713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2,264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Rent and related expenses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2,113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4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tcPr>
          <w:p>
            <w:pPr>
              <w:spacing w:after="0"/>
              <w:rPr>
                <w:sz w:val="17"/>
                <w:szCs w:val="17"/>
                <w:color w:val="auto"/>
              </w:rPr>
            </w:pPr>
          </w:p>
        </w:tc>
        <w:tc>
          <w:tcPr>
            <w:tcW w:w="33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23,282</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27,251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grants from the IIA and MTEC (see Notes 8A and 9)</w:t>
            </w:r>
          </w:p>
        </w:tc>
        <w:tc>
          <w:tcPr>
            <w:tcW w:w="4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(1,990)</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21,292</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24,663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14 -  GENERAL AND ADMINISTRATIVE EXPENSES</w:t>
            </w:r>
          </w:p>
        </w:tc>
        <w:tc>
          <w:tcPr>
            <w:tcW w:w="3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380" w:type="dxa"/>
            <w:vAlign w:val="bottom"/>
            <w:vMerge w:val="continue"/>
          </w:tcPr>
          <w:p>
            <w:pPr>
              <w:spacing w:after="0"/>
              <w:rPr>
                <w:sz w:val="24"/>
                <w:szCs w:val="24"/>
                <w:color w:val="auto"/>
              </w:rPr>
            </w:pPr>
          </w:p>
        </w:tc>
        <w:tc>
          <w:tcPr>
            <w:tcW w:w="3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related expenses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1,380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related expenses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Insurance expenses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1,191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transaction costs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9,628</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15 -  FINANCE EXPENSES (INCOME), NET</w:t>
            </w:r>
          </w:p>
        </w:tc>
        <w:tc>
          <w:tcPr>
            <w:tcW w:w="3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38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1680" w:type="dxa"/>
            <w:vAlign w:val="bottom"/>
            <w:gridSpan w:val="3"/>
            <w:vMerge w:val="restart"/>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5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8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bank deposits</w:t>
            </w:r>
          </w:p>
        </w:tc>
        <w:tc>
          <w:tcPr>
            <w:tcW w:w="4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fees and other</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foreign exchange contracts</w:t>
            </w:r>
          </w:p>
        </w:tc>
        <w:tc>
          <w:tcPr>
            <w:tcW w:w="4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2025 PIPE transaction costs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March 2024 PIPE transaction costs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19"/>
                <w:szCs w:val="19"/>
                <w:color w:val="auto"/>
              </w:rPr>
            </w:pPr>
          </w:p>
        </w:tc>
        <w:tc>
          <w:tcPr>
            <w:tcW w:w="3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F-35</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229" w:lineRule="exact"/>
        <w:rPr>
          <w:sz w:val="20"/>
          <w:szCs w:val="20"/>
          <w:color w:val="auto"/>
        </w:rPr>
      </w:pPr>
    </w:p>
    <w:p>
      <w:pPr>
        <w:ind w:left="1620" w:right="60" w:hanging="640"/>
        <w:spacing w:after="0" w:line="254" w:lineRule="auto"/>
        <w:tabs>
          <w:tab w:leader="none" w:pos="16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files income tax returns in the U.S. federal jurisdiction and in state and local jurisdictions and is subject to examination by the various taxing authorities. The Company’s income tax returns since 2021 remain open and subject to examination. The statutory U.S. federal income tax rate is 21%. As of December 31, 2025, the Company had total net operating losses in the U.S. of approximately $85,570, which may be carried forward and offset against taxable income in the future. Utilization of carryforward losses and research and development tax credit carryforwards may be subject to an annual limitation under Sections 382 and 383 of the Internal Revenue Code due to ownership changes that may have occurred previously or that could occur in the future. These ownership changes may limit the amount of carryforward losses that can be utilized annually to offset future taxable income. APT’s carryforward losses of $22,131 might be subject to Section 382 limitation.</w:t>
      </w:r>
    </w:p>
    <w:p>
      <w:pPr>
        <w:spacing w:after="0" w:line="191" w:lineRule="exact"/>
        <w:rPr>
          <w:rFonts w:ascii="Times New Roman" w:cs="Times New Roman" w:eastAsia="Times New Roman" w:hAnsi="Times New Roman"/>
          <w:sz w:val="18"/>
          <w:szCs w:val="18"/>
          <w:b w:val="1"/>
          <w:bCs w:val="1"/>
          <w:color w:val="auto"/>
        </w:rPr>
      </w:pPr>
    </w:p>
    <w:p>
      <w:pPr>
        <w:ind w:left="1620" w:right="60" w:hanging="640"/>
        <w:spacing w:after="0" w:line="282" w:lineRule="auto"/>
        <w:tabs>
          <w:tab w:leader="none" w:pos="16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BiomX Israel files income tax returns in Israel. Its tax assessments through 2020 are deemed to be final. The statutory Israeli income tax rate is 23%.</w:t>
      </w:r>
    </w:p>
    <w:p>
      <w:pPr>
        <w:spacing w:after="0" w:line="161" w:lineRule="exact"/>
        <w:rPr>
          <w:rFonts w:ascii="Times New Roman" w:cs="Times New Roman" w:eastAsia="Times New Roman" w:hAnsi="Times New Roman"/>
          <w:sz w:val="18"/>
          <w:szCs w:val="18"/>
          <w:b w:val="1"/>
          <w:bCs w:val="1"/>
          <w:color w:val="auto"/>
        </w:rPr>
      </w:pPr>
    </w:p>
    <w:p>
      <w:pPr>
        <w:ind w:left="1620" w:right="200" w:hanging="640"/>
        <w:spacing w:after="0" w:line="282" w:lineRule="auto"/>
        <w:tabs>
          <w:tab w:leader="none" w:pos="16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BiomX Israel had total carryforward losses in Israel of approximately $146,128 and $126,428 respectively.</w:t>
      </w:r>
    </w:p>
    <w:p>
      <w:pPr>
        <w:spacing w:after="0" w:line="161" w:lineRule="exact"/>
        <w:rPr>
          <w:rFonts w:ascii="Times New Roman" w:cs="Times New Roman" w:eastAsia="Times New Roman" w:hAnsi="Times New Roman"/>
          <w:sz w:val="18"/>
          <w:szCs w:val="18"/>
          <w:b w:val="1"/>
          <w:bCs w:val="1"/>
          <w:color w:val="auto"/>
        </w:rPr>
      </w:pPr>
    </w:p>
    <w:p>
      <w:pPr>
        <w:ind w:left="1620" w:right="60" w:hanging="640"/>
        <w:spacing w:after="0" w:line="258" w:lineRule="auto"/>
        <w:tabs>
          <w:tab w:leader="none" w:pos="16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2025 and 2024. Management reevaluates the positive and negative evidence at each reporting period.</w:t>
      </w:r>
    </w:p>
    <w:p>
      <w:pPr>
        <w:spacing w:after="0" w:line="183" w:lineRule="exact"/>
        <w:rPr>
          <w:rFonts w:ascii="Times New Roman" w:cs="Times New Roman" w:eastAsia="Times New Roman" w:hAnsi="Times New Roman"/>
          <w:sz w:val="18"/>
          <w:szCs w:val="18"/>
          <w:b w:val="1"/>
          <w:bCs w:val="1"/>
          <w:color w:val="auto"/>
        </w:rPr>
      </w:pPr>
    </w:p>
    <w:p>
      <w:pPr>
        <w:ind w:left="1620" w:right="200" w:hanging="640"/>
        <w:spacing w:after="0" w:line="266" w:lineRule="auto"/>
        <w:tabs>
          <w:tab w:leader="none" w:pos="16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policy is to record estimated interest and penalties related to uncertain tax positions in income tax expense. The Company has no amounts recorded for any unrecognized tax positions, accrued interest nor penalties as of December 31, 2025 and 2024.</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the reconciliation between the Company’s theoretical income tax and effective income tax for the year ended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December 31, 2025 after the adoption of ASU 2023-09: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(7,600)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5,336</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14.74</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from early lease termination</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(819)</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(0.76)</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Effective Tax Rate</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432"/>
        </w:trPr>
        <w:tc>
          <w:tcPr>
            <w:tcW w:w="66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Loss before taxes on income, consists of the following:</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 United States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12,145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3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 Israel</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24,047</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21,225</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2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F-36</w:t>
            </w: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620" w:type="dxa"/>
            <w:vAlign w:val="bottom"/>
            <w:tcBorders>
              <w:bottom w:val="single" w:sz="8" w:color="auto"/>
            </w:tcBorders>
            <w:gridSpan w:val="2"/>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 (Cont.)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Net deferred tax assets as of December 31, 2025 and 2024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51,579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42,454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8,737</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10,898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 (*)</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IPR&amp;D - Intangible Asset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2,192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64,457</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55,576</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IPR&amp;D - Intangible Asset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(6,840)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(5,571)</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(6,840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(6,735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Research and development tax credits will begin to expire in 2038.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BASIC LOSS PER SHARE</w:t>
      </w:r>
    </w:p>
    <w:p>
      <w:pPr>
        <w:spacing w:after="0" w:line="229" w:lineRule="exact"/>
        <w:rPr>
          <w:sz w:val="20"/>
          <w:szCs w:val="20"/>
          <w:color w:val="auto"/>
        </w:rPr>
      </w:pPr>
    </w:p>
    <w:p>
      <w:pPr>
        <w:ind w:left="980" w:right="4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are as follows: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Basic and diluted loss per share of common stock</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common stock outstanding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1,422,019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upon Pre-Funded Warrants exercise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209,001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upon fully vested Warrants exercise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weighted-average number of shares of common stock, shares upon Pre-Funded Warrants and fully vested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exercise used in computing basic loss per share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1,631,037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698,870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 of common stock</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loss per share of common stock</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44,185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1,631,037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58,879</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weighted-average number of shares of common stock outstanding, after giving effect to dilutive securities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1,631,037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757,749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net loss per share of common stock</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right="340"/>
        <w:spacing w:after="0" w:line="261" w:lineRule="auto"/>
        <w:rPr>
          <w:sz w:val="20"/>
          <w:szCs w:val="20"/>
          <w:color w:val="auto"/>
        </w:rPr>
      </w:pPr>
      <w:r>
        <w:rPr>
          <w:rFonts w:ascii="Times New Roman" w:cs="Times New Roman" w:eastAsia="Times New Roman" w:hAnsi="Times New Roman"/>
          <w:sz w:val="18"/>
          <w:szCs w:val="18"/>
          <w:color w:val="auto"/>
        </w:rPr>
        <w:t>Basic loss per share is computed on the basis of the net loss for the period divided by the weighted average number of shares of Common Stock outstanding during the period, fully vested warrants with no exercise price for the Company’s Common Stock and fully vested Pre-Funded Warrants for the Company’s Common Stock at an exercise price of $0.019 per share, as the Company considers these shares to be exercised for little to no additional consideration.</w:t>
      </w:r>
    </w:p>
    <w:p>
      <w:pPr>
        <w:spacing w:after="0" w:line="180"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Diluted loss per share is based upon the weighted average number of shares of Common Stock and of potential shares of Common Stock outstanding when dilutive. Potential shares of Common Stock equivalents include outstanding stock options and warrants, which are included under the treasury stock method when dilutive.</w:t>
      </w:r>
    </w:p>
    <w:p>
      <w:pPr>
        <w:spacing w:after="0" w:line="176" w:lineRule="exact"/>
        <w:rPr>
          <w:sz w:val="20"/>
          <w:szCs w:val="20"/>
          <w:color w:val="auto"/>
        </w:rPr>
      </w:pPr>
    </w:p>
    <w:p>
      <w:pPr>
        <w:ind w:left="980" w:right="280"/>
        <w:spacing w:after="0" w:line="282" w:lineRule="auto"/>
        <w:rPr>
          <w:sz w:val="20"/>
          <w:szCs w:val="20"/>
          <w:color w:val="auto"/>
        </w:rPr>
      </w:pPr>
      <w:r>
        <w:rPr>
          <w:rFonts w:ascii="Times New Roman" w:cs="Times New Roman" w:eastAsia="Times New Roman" w:hAnsi="Times New Roman"/>
          <w:sz w:val="18"/>
          <w:szCs w:val="18"/>
          <w:color w:val="auto"/>
        </w:rPr>
        <w:t>The calculation of diluted loss per share as of December 31, 2025 and 2024, does not include the shares underlying the following financial instruments because their effect would be anti-dilutive:</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40" w:type="dxa"/>
            <w:vAlign w:val="bottom"/>
            <w:tcBorders>
              <w:bottom w:val="single" w:sz="8" w:color="CCEEFF"/>
            </w:tcBorders>
          </w:tcPr>
          <w:p>
            <w:pPr>
              <w:spacing w:after="0"/>
              <w:rPr>
                <w:sz w:val="21"/>
                <w:szCs w:val="21"/>
                <w:color w:val="auto"/>
              </w:rPr>
            </w:pPr>
          </w:p>
        </w:tc>
        <w:tc>
          <w:tcPr>
            <w:tcW w:w="444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4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105,388</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5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959,687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77,647</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shares</w:t>
            </w:r>
          </w:p>
        </w:tc>
        <w:tc>
          <w:tcPr>
            <w:tcW w:w="5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10,526</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Shares</w:t>
            </w:r>
          </w:p>
        </w:tc>
        <w:tc>
          <w:tcPr>
            <w:tcW w:w="5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776,383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777,553</w:t>
            </w:r>
          </w:p>
        </w:tc>
      </w:tr>
      <w:tr>
        <w:trPr>
          <w:trHeight w:val="637"/>
        </w:trPr>
        <w:tc>
          <w:tcPr>
            <w:tcW w:w="42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F-38</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229" w:lineRule="exact"/>
        <w:rPr>
          <w:sz w:val="20"/>
          <w:szCs w:val="20"/>
          <w:color w:val="auto"/>
        </w:rPr>
      </w:pPr>
    </w:p>
    <w:p>
      <w:pPr>
        <w:ind w:left="980" w:right="40"/>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segment, as a clinical stage product discovery company developing products using both natural and engineered phage technologies. The Company’s chief operating decision-maker “(CODM)” is its chief executive officer, who reviews financial information presented on a consolidated basis. The CODM uses consolidated Net loss and Operating loss to monitor budget versus actual results in assessing segment performance and the allocation of resources. Significant segment expenses are presented in the Company’s consolidated statements of operations.</w:t>
      </w:r>
    </w:p>
    <w:p>
      <w:pPr>
        <w:spacing w:after="0" w:line="183"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Additional disaggregated significant segment expenses on a functional basis, that are not separately presented on the Company’s consolidated statements of operations, regularly reviewed by our CODM, include salaries and clinical trials expenses and presented below.</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salaries and related expenses, other than stock-based compensation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salaries and related expenses, other than stock-based compensations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12,720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stock based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stock based compensation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depreciation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depreciation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 IPR&amp;D and Other long-lived asset impairment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13,495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8,084</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 (*)</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41,466</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44,523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gain from early lease termination and all remaining costs necessary to operate our business, which primarily include external professional services, rent, insurance and other administrative expenses, and are presented net of grants received.</w:t>
      </w:r>
    </w:p>
    <w:p>
      <w:pPr>
        <w:spacing w:after="0" w:line="162"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as well as the Company’s operating lease right-of-use assets recognized on the consolidated balance sheets were located as follows:</w:t>
      </w:r>
    </w:p>
    <w:p>
      <w:pPr>
        <w:spacing w:after="0" w:line="17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 Israel</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shd w:val="clear" w:color="auto" w:fill="CCEEFF"/>
          </w:tcPr>
          <w:p>
            <w:pPr>
              <w:spacing w:after="0"/>
              <w:rPr>
                <w:sz w:val="18"/>
                <w:szCs w:val="18"/>
                <w:color w:val="auto"/>
              </w:rPr>
            </w:pPr>
          </w:p>
        </w:tc>
      </w:tr>
      <w:tr>
        <w:trPr>
          <w:trHeight w:val="237"/>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 United States</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948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F-39</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BIOMX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9" w:lineRule="exact"/>
        <w:rPr>
          <w:sz w:val="20"/>
          <w:szCs w:val="20"/>
          <w:color w:val="auto"/>
        </w:rPr>
      </w:pPr>
    </w:p>
    <w:p>
      <w:pPr>
        <w:ind w:left="1620" w:right="60" w:hanging="640"/>
        <w:spacing w:after="0" w:line="254"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26, 2025, the Company entered into a Securities Purchase Agreement with an investor (the “Investor”) pursuant to which the Company agreed to issue and sell, in a private placement transaction, an aggregate of 3,300 shares of the Company’s newly created Series Y Convertible Preferred Stock, par value $0.0001 per share (the “Series Y Preferred Stock”), convertible into up to 1,650,000 Common Stock shares, with an aggregate stated value of $3,300, together with warrants to purchase shares of the Company’s Common Stock, par value $0.0001 per share (the “Securities Purchase Agreement Warrants”), in exchange for aggregate gross proceeds to the Company of $3,000, before deducting placement agent fees and other offering expenses, subject to customary closing conditions. On January 13, 2026, following the satisfaction of the closing conditions, the Company consummated the private placement and received gross proceeds of $3,000 from the investor, and issued the Series Y Preferred Stock and Securities Purchase Agreement Warrants in accordance with the terms of the Securities Purchase Agreement.</w:t>
      </w:r>
    </w:p>
    <w:p>
      <w:pPr>
        <w:spacing w:after="0" w:line="188" w:lineRule="exact"/>
        <w:rPr>
          <w:rFonts w:ascii="Times New Roman" w:cs="Times New Roman" w:eastAsia="Times New Roman" w:hAnsi="Times New Roman"/>
          <w:sz w:val="18"/>
          <w:szCs w:val="18"/>
          <w:color w:val="auto"/>
        </w:rPr>
      </w:pPr>
    </w:p>
    <w:p>
      <w:pPr>
        <w:ind w:left="162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Series Y Preferred Stock has a stated value of $1,000 and will be convertible into shares of Common Stock. The initial conversion price is $2.00 per share of Common Stock, subject to customary adjustments for stock splits, stock dividends, stock combinations, recapitalizations and similar transactions. In addition, following receipt of stockholder approval as required under the applicable rules of NYSE American, the conversion price will be reduced to equal the lower of (i) the conversion price, as defined in the Certificate of Designations, then in effect, and (ii) the closing sale price of the Common Stock on the trading day immediately prior to the date such stockholder approval is obtained.</w:t>
      </w:r>
    </w:p>
    <w:p>
      <w:pPr>
        <w:spacing w:after="0" w:line="187" w:lineRule="exact"/>
        <w:rPr>
          <w:rFonts w:ascii="Times New Roman" w:cs="Times New Roman" w:eastAsia="Times New Roman" w:hAnsi="Times New Roman"/>
          <w:sz w:val="18"/>
          <w:szCs w:val="18"/>
          <w:color w:val="auto"/>
        </w:rPr>
      </w:pPr>
    </w:p>
    <w:p>
      <w:pPr>
        <w:ind w:left="162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Series Y Preferred Stock will be entitled to receive dividends on the stated value of the Series Y Preferred Stock at a rate of 15% per annum, payable quarterly, at the Investor’s sole election, either in cash or shares of Common Stock, subject to adjustment as set forth in the Certificate of Designations. Except as otherwise required by law or as expressly provided in the Certificate of Designations, the Series Y Preferred Stock does not have voting rights. Each share of Series Y Preferred Stock will have a maturity of one year from the closing date.</w:t>
      </w:r>
    </w:p>
    <w:p>
      <w:pPr>
        <w:spacing w:after="0" w:line="183" w:lineRule="exact"/>
        <w:rPr>
          <w:rFonts w:ascii="Times New Roman" w:cs="Times New Roman" w:eastAsia="Times New Roman" w:hAnsi="Times New Roman"/>
          <w:sz w:val="18"/>
          <w:szCs w:val="18"/>
          <w:color w:val="auto"/>
        </w:rPr>
      </w:pPr>
    </w:p>
    <w:p>
      <w:pPr>
        <w:ind w:left="16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is subject to beneficial ownership limitations of 19.99% of the Company’s outstanding Common Stock. The Series Y Convertible Preferred Stock accrues cumulative dividends on its stated value, compounded quarterly. Dividends are payable, at the Company’s election, either in cash or in shares of common stock through inclusion in the conversion amount upon conversion. Upon the occurrence and during the continuance of a triggering event, dividends accrue at an increased default rate of 24% per annum. All accrued and unpaid dividends are payable upon redemption or at maturity. The Company may be required to redeem the Series Y Preferred Stock at an amount equal to the conversion amount multiplied by the applicable redemption premium, plus any accrued and unpaid dividends and charges.</w:t>
      </w:r>
    </w:p>
    <w:p>
      <w:pPr>
        <w:spacing w:after="0" w:line="188" w:lineRule="exact"/>
        <w:rPr>
          <w:rFonts w:ascii="Times New Roman" w:cs="Times New Roman" w:eastAsia="Times New Roman" w:hAnsi="Times New Roman"/>
          <w:sz w:val="18"/>
          <w:szCs w:val="18"/>
          <w:color w:val="auto"/>
        </w:rPr>
      </w:pPr>
    </w:p>
    <w:p>
      <w:pPr>
        <w:ind w:left="162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Warrants entitle the holder to purchase up to an aggregate of 3,300,000 shares of the Company’s Common Stock, representing 200% of the 1,650,000 of shares of Common Stock issuable upon conversion of the Series Y Preferred Stock. The Securities Purchase Agreement Warrants are exercisable immediately upon issuance, subject to beneficial ownership limitations, and will expire five years from the date of issuance. The exercise price of the Securities Purchase Agreement Warrants is $2.00 per share, subject to customary anti-dilution adjustments.</w:t>
      </w:r>
    </w:p>
    <w:p>
      <w:pPr>
        <w:spacing w:after="0" w:line="183" w:lineRule="exact"/>
        <w:rPr>
          <w:rFonts w:ascii="Times New Roman" w:cs="Times New Roman" w:eastAsia="Times New Roman" w:hAnsi="Times New Roman"/>
          <w:sz w:val="18"/>
          <w:szCs w:val="18"/>
          <w:color w:val="auto"/>
        </w:rPr>
      </w:pPr>
    </w:p>
    <w:p>
      <w:pPr>
        <w:ind w:left="1620"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this financing, the Company issued 99,000 warrants to HC Wainwright &amp; Co., LLC, as placement agent fees. These placement agent warrants have an exercise price of $2.50 per share and a five-year term from the date of issuance.</w:t>
      </w:r>
    </w:p>
    <w:p>
      <w:pPr>
        <w:spacing w:after="0" w:line="161" w:lineRule="exact"/>
        <w:rPr>
          <w:rFonts w:ascii="Times New Roman" w:cs="Times New Roman" w:eastAsia="Times New Roman" w:hAnsi="Times New Roman"/>
          <w:sz w:val="18"/>
          <w:szCs w:val="18"/>
          <w:color w:val="auto"/>
        </w:rPr>
      </w:pPr>
    </w:p>
    <w:p>
      <w:pPr>
        <w:ind w:left="1620" w:hanging="640"/>
        <w:spacing w:after="0" w:line="254"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25, 2026, following the December 16, 2025 filing by the Company’s Israeli subsidiary BiomX Israel for insolvency proceedings in Israel, the District Court of the Central District, in Lod, Israel, appointed a Trustee to BiomX Israel to handle the administration of the insolvency proceedings. The Trustee is responsible for managing the subsidiary’s assets, evaluating claims from creditors, and overseeing the orderly wind-down or restructuring of BiomX Israel’s operations in accordance with applicable Israeli insolvency law. On February 4, 2026, the Trustee notified BiomX Israel’s Chief Executive Officer and Chief Financial Officer that their roles as officers of BiomX Israel had been terminated. The Company determined that the termination is considered as a change of control as of February 4, 2026, and that BiomX Israel should be deconsolidated from the Company’s consolidated financial statements. The Company does not expect to recover any significant value from its investment in BiomX Israel.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BIOMX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COMPOSITE CERTIFICATE OF INCORPORATION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Certificate of Incorporation filed December 13, 2018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October 28,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August 31,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July 9,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August 20,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November 17,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BIOMX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245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name of the corporation is BiomX Inc. (hereinafter called the “Corporation”).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The registered office of the Corporation is to be located at 850 New Burton Road, Suite 201, in the City of Dover, in the County of Kent, 19904.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its registered agent at that address is Cogency Global Inc.</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lawful act or activity for which corporations may be organized under the General Corporation Law of Delaware (“GCL”).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The name and mailing address of the incorporator is: Jaszick Maldonado, c/o Loeb &amp; Loeb LLP, 345 Park Avenue, New York NY 10154.</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FIFTH: The total number of shares of all classes of capital stock which the Corporation shall have authority to issue is 751,000,000, of which 750,000,000 shares shall be common stock, par value $.0001 per share (“Common Stock”) and 1,000,000 shares shall be preferred stock, par value $.0001 per share (“Preferred Stock”).</w:t>
      </w:r>
    </w:p>
    <w:p>
      <w:pPr>
        <w:spacing w:after="0" w:line="17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[Subject to this Certificate of Amendment becoming effective pursuant to the General Corporation Law of the State of Delaware, at 12:01 a.m. on August 26, 2024 (the “Effective Time”), the shares of Common Stock issued and outstanding or held in treasury immediately prior to the Effective Time (the “Old Common Stock”) shall be reclassified as and converted into a different number of shares of Common Stock (the “New Common Stock”) such that each ten shares of Old Common Stock shall, at the Effective Time, be automatically reclassified as and converted into one share of New Common Stock (the “Reverse Stock Split”). From and after the Effective Time, certificates representing the Old Common Stock shall represent the number of whole shares of New Common Stock into which such Old Common Stock shall have been reclassified pursuant to this Certificate of Amendment. No fractional shares of Common Stock shall be issued as a result of the Reverse Stock Split. Fractional share resulting from the Reverse Stock Split will be rounded up to the next whole share.]</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17830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line="233" w:lineRule="auto"/>
        <w:tabs>
          <w:tab w:leader="none" w:pos="340"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provision has been revised to reflect changes effectuated by the Certificate of Amendment filed October 28, 2019.</w:t>
      </w:r>
    </w:p>
    <w:p>
      <w:pPr>
        <w:ind w:left="340" w:hanging="332"/>
        <w:spacing w:after="0" w:line="181" w:lineRule="auto"/>
        <w:tabs>
          <w:tab w:leader="none" w:pos="340" w:val="left"/>
        </w:tabs>
        <w:numPr>
          <w:ilvl w:val="0"/>
          <w:numId w:val="8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provision has been revised to reflect changes effectuated by the Certificate of Amendment filed August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9" w:name="page130"/>
    <w:bookmarkEnd w:id="129"/>
    <w:p>
      <w:pPr>
        <w:ind w:right="60"/>
        <w:spacing w:after="0" w:line="259" w:lineRule="auto"/>
        <w:rPr>
          <w:sz w:val="20"/>
          <w:szCs w:val="20"/>
          <w:color w:val="auto"/>
        </w:rPr>
      </w:pPr>
      <w:r>
        <w:rPr>
          <w:rFonts w:ascii="Times New Roman" w:cs="Times New Roman" w:eastAsia="Times New Roman" w:hAnsi="Times New Roman"/>
          <w:sz w:val="18"/>
          <w:szCs w:val="18"/>
          <w:color w:val="auto"/>
        </w:rPr>
        <w:t>[Subject to this Certificate of Amendment becoming effective pursuant to the General Corporation Law of the State of Delaware, at 12:01 a.m. Eastern Time on November 25, 2025 (the “Effective Time"), the shares of Common Stock issued and outstanding or held in treasury immediately prior to the 2025 Effective Time (the “Old Common Stock") shall be reclassified as and converted into a different number of shares of Common Stock (the “New Common Stock") such that each 19 shares of Old Common Stock shall, at the Effective Time, be automatically reclassified as and converted into one share of New Common Stock (the “Reverse Stock Split"). From and after the Effective Time, certificates representing the Old Common Stock shall represent the number of whole shares of New Common Stock into which such Old Common Stock shall have been reclassified pursuant to this Certificate of Amendment. No fractional shares of Common Stock shall be issued as a result of the Reverse Stock Split. Fractional share resulting from the Reverse Stock Split will be rounded up to the next whole share.]</w:t>
      </w:r>
      <w:r>
        <w:rPr>
          <w:rFonts w:ascii="Times New Roman" w:cs="Times New Roman" w:eastAsia="Times New Roman" w:hAnsi="Times New Roman"/>
          <w:sz w:val="29"/>
          <w:szCs w:val="29"/>
          <w:color w:val="auto"/>
          <w:vertAlign w:val="superscript"/>
        </w:rPr>
        <w:t>3</w:t>
      </w:r>
    </w:p>
    <w:p>
      <w:pPr>
        <w:spacing w:after="0" w:line="61"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92" w:lineRule="exact"/>
        <w:rPr>
          <w:sz w:val="20"/>
          <w:szCs w:val="20"/>
          <w:color w:val="auto"/>
        </w:rPr>
      </w:pPr>
    </w:p>
    <w:p>
      <w:pPr>
        <w:ind w:left="340" w:right="42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Except as otherwise required by law or as otherwise provided in any Preferred Stock Designation, the holders of the Common Stock shall exclusively possess all voting power and each share of Common Stock shall have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2" w:lineRule="exact"/>
        <w:rPr>
          <w:sz w:val="20"/>
          <w:szCs w:val="20"/>
          <w:color w:val="auto"/>
        </w:rPr>
      </w:pPr>
    </w:p>
    <w:p>
      <w:pPr>
        <w:ind w:left="5580" w:right="2160" w:hanging="5572"/>
        <w:spacing w:after="0" w:line="623" w:lineRule="auto"/>
        <w:tabs>
          <w:tab w:leader="none" w:pos="333" w:val="left"/>
        </w:tabs>
        <w:numPr>
          <w:ilvl w:val="0"/>
          <w:numId w:val="8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provision has been revised to reflect changes effectuated by the Certificate of Amendment filed November 17, 2025.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spacing w:after="0" w:line="253" w:lineRule="auto"/>
        <w:rPr>
          <w:sz w:val="20"/>
          <w:szCs w:val="20"/>
          <w:color w:val="auto"/>
        </w:rPr>
      </w:pPr>
      <w:r>
        <w:rPr>
          <w:rFonts w:ascii="Times New Roman" w:cs="Times New Roman" w:eastAsia="Times New Roman" w:hAnsi="Times New Roman"/>
          <w:sz w:val="18"/>
          <w:szCs w:val="18"/>
          <w:color w:val="auto"/>
        </w:rPr>
        <w:t>SIXTH: This Article Sixth shall apply during the period commencing upon the filing of this Certificate of Incorporation and terminating upon the consummation of any “Business Combination” (as defined below). A “Business Combination” shall mean any merger, capital stock exchange, asset acquisition, stock purchase, recapitalization,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 The “fair market value” for purposes of this Article Sixth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w:t>
      </w:r>
    </w:p>
    <w:p>
      <w:pPr>
        <w:spacing w:after="0" w:line="190" w:lineRule="exact"/>
        <w:rPr>
          <w:sz w:val="20"/>
          <w:szCs w:val="20"/>
          <w:color w:val="auto"/>
        </w:rPr>
      </w:pPr>
    </w:p>
    <w:p>
      <w:pPr>
        <w:ind w:left="340" w:right="60"/>
        <w:spacing w:after="0" w:line="289" w:lineRule="auto"/>
        <w:rPr>
          <w:sz w:val="20"/>
          <w:szCs w:val="20"/>
          <w:color w:val="auto"/>
        </w:rPr>
      </w:pPr>
      <w:r>
        <w:rPr>
          <w:rFonts w:ascii="Times New Roman" w:cs="Times New Roman" w:eastAsia="Times New Roman" w:hAnsi="Times New Roman"/>
          <w:sz w:val="17"/>
          <w:szCs w:val="17"/>
          <w:color w:val="auto"/>
        </w:rPr>
        <w:t>A. Prior to the consummation of a Business Combination, the Corporation shall either (i) submit any Business Combination to its holders 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158" w:lineRule="exact"/>
        <w:rPr>
          <w:sz w:val="20"/>
          <w:szCs w:val="20"/>
          <w:color w:val="auto"/>
        </w:rPr>
      </w:pPr>
    </w:p>
    <w:p>
      <w:pPr>
        <w:ind w:left="340" w:right="300"/>
        <w:spacing w:after="0" w:line="266" w:lineRule="auto"/>
        <w:rPr>
          <w:sz w:val="20"/>
          <w:szCs w:val="20"/>
          <w:color w:val="auto"/>
        </w:rPr>
      </w:pPr>
      <w:r>
        <w:rPr>
          <w:rFonts w:ascii="Times New Roman" w:cs="Times New Roman" w:eastAsia="Times New Roman" w:hAnsi="Times New Roman"/>
          <w:sz w:val="18"/>
          <w:szCs w:val="18"/>
          <w:color w:val="auto"/>
        </w:rPr>
        <w:t>B. 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176" w:lineRule="exact"/>
        <w:rPr>
          <w:sz w:val="20"/>
          <w:szCs w:val="20"/>
          <w:color w:val="auto"/>
        </w:rPr>
      </w:pPr>
    </w:p>
    <w:p>
      <w:pPr>
        <w:ind w:left="340" w:right="20"/>
        <w:spacing w:after="0" w:line="252" w:lineRule="auto"/>
        <w:rPr>
          <w:sz w:val="20"/>
          <w:szCs w:val="20"/>
          <w:color w:val="auto"/>
        </w:rPr>
      </w:pPr>
      <w:r>
        <w:rPr>
          <w:rFonts w:ascii="Times New Roman" w:cs="Times New Roman" w:eastAsia="Times New Roman" w:hAnsi="Times New Roman"/>
          <w:sz w:val="18"/>
          <w:szCs w:val="18"/>
          <w:color w:val="auto"/>
        </w:rPr>
        <w:t>C. 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19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 The Corporation will not consummate any Business Combination unless it has net tangible assets of at least $5,000,001 upon consummation of such Business Combination.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left="340"/>
        <w:spacing w:after="0" w:line="253" w:lineRule="auto"/>
        <w:rPr>
          <w:sz w:val="20"/>
          <w:szCs w:val="20"/>
          <w:color w:val="auto"/>
        </w:rPr>
      </w:pPr>
      <w:r>
        <w:rPr>
          <w:rFonts w:ascii="Times New Roman" w:cs="Times New Roman" w:eastAsia="Times New Roman" w:hAnsi="Times New Roman"/>
          <w:sz w:val="18"/>
          <w:szCs w:val="18"/>
          <w:color w:val="auto"/>
        </w:rPr>
        <w:t>E. In the event that the Corporation does not consummate a Business Combination by 24 months from the consummation of the IPO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Account plus any pro rata interest earned on the funds held in the Trust Account and not previously released to the Corporation for its working capital requirements or necessary to pay its taxes divided by the total number of IPO Shares then outstanding.</w:t>
      </w:r>
    </w:p>
    <w:p>
      <w:pPr>
        <w:spacing w:after="0" w:line="190"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F. 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w:t>
      </w:r>
    </w:p>
    <w:p>
      <w:pPr>
        <w:spacing w:after="0" w:line="176"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G. Prior to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79"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SEVENTH: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Election of directors need not be by ballot unless the by-laws of the Corporation so provide.</w:t>
      </w:r>
    </w:p>
    <w:p>
      <w:pPr>
        <w:spacing w:after="0" w:line="225"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B. The Board of Directors shall have the power, without the assent or vote of the stockholders, to make, alter, amend, change, add to or repeal the by-laws of the Corporation as provided in the by-laws of the Corporation.</w:t>
      </w:r>
    </w:p>
    <w:p>
      <w:pPr>
        <w:spacing w:after="0" w:line="162" w:lineRule="exact"/>
        <w:rPr>
          <w:sz w:val="20"/>
          <w:szCs w:val="20"/>
          <w:color w:val="auto"/>
        </w:rPr>
      </w:pPr>
    </w:p>
    <w:p>
      <w:pPr>
        <w:ind w:left="340" w:right="100"/>
        <w:spacing w:after="0" w:line="256" w:lineRule="auto"/>
        <w:rPr>
          <w:sz w:val="20"/>
          <w:szCs w:val="20"/>
          <w:color w:val="auto"/>
        </w:rPr>
      </w:pPr>
      <w:r>
        <w:rPr>
          <w:rFonts w:ascii="Times New Roman" w:cs="Times New Roman" w:eastAsia="Times New Roman" w:hAnsi="Times New Roman"/>
          <w:sz w:val="18"/>
          <w:szCs w:val="18"/>
          <w:color w:val="auto"/>
        </w:rPr>
        <w:t>C.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87" w:lineRule="exact"/>
        <w:rPr>
          <w:sz w:val="20"/>
          <w:szCs w:val="20"/>
          <w:color w:val="auto"/>
        </w:rPr>
      </w:pPr>
    </w:p>
    <w:p>
      <w:pPr>
        <w:ind w:left="340" w:right="120"/>
        <w:spacing w:after="0" w:line="281" w:lineRule="auto"/>
        <w:rPr>
          <w:sz w:val="20"/>
          <w:szCs w:val="20"/>
          <w:color w:val="auto"/>
        </w:rPr>
      </w:pPr>
      <w:r>
        <w:rPr>
          <w:rFonts w:ascii="Times New Roman" w:cs="Times New Roman" w:eastAsia="Times New Roman" w:hAnsi="Times New Roman"/>
          <w:sz w:val="17"/>
          <w:szCs w:val="17"/>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Amended and Restated Certificate of Incorporation, and to any bylaws from time to time made by the stockholders; provided, however, that no bylaw so made shall invalidate any prior act of the directors which would have been valid if such bylaws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830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5" w:lineRule="exact"/>
        <w:rPr>
          <w:sz w:val="20"/>
          <w:szCs w:val="20"/>
          <w:color w:val="auto"/>
        </w:rPr>
      </w:pPr>
    </w:p>
    <w:p>
      <w:pPr>
        <w:ind w:left="5580" w:right="2320" w:hanging="5572"/>
        <w:spacing w:after="0" w:line="623" w:lineRule="auto"/>
        <w:tabs>
          <w:tab w:leader="none" w:pos="333" w:val="left"/>
        </w:tabs>
        <w:numPr>
          <w:ilvl w:val="0"/>
          <w:numId w:val="9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provision has been revised to reflect changes effectuated by the Certificate of Amendment filed October 28, 2019.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2" w:name="page133"/>
    <w:bookmarkEnd w:id="132"/>
    <w:p>
      <w:pPr>
        <w:ind w:left="340" w:right="20"/>
        <w:spacing w:after="0" w:line="252" w:lineRule="auto"/>
        <w:rPr>
          <w:sz w:val="20"/>
          <w:szCs w:val="20"/>
          <w:color w:val="auto"/>
        </w:rPr>
      </w:pPr>
      <w:r>
        <w:rPr>
          <w:rFonts w:ascii="Times New Roman" w:cs="Times New Roman" w:eastAsia="Times New Roman" w:hAnsi="Times New Roman"/>
          <w:sz w:val="18"/>
          <w:szCs w:val="18"/>
          <w:color w:val="auto"/>
        </w:rPr>
        <w:t>E. The Board of Directors shall be divided into three classes: Class I, Class II and Class III. The number of directors in each class shall be fixed exclusively by the Board of Directors and shall be as nearly equal as possible. Following the filing of the amendment to the certificate of incorporation including this provision, the entire Board of Directors will be elected at the first Annual Meeting of Stockholders. At such first Annual Meeting of Stockholders, the directors in Class I shall be elected for a term expiring at the second Annual Meeting of Stockholders, the directors in Class II shall be elected for a term expiring at the third Annual Meeting of Stockholders and the directors in Class III shall be elected for a term expiring at the fourth Annual Meeting of Stockholders. Commencing at the second Annual Meeting of Stockholders following the filing of the amendment to the certificate of incorporation including this provision, and at each annual meeting thereafter, directors elected to succeed those directors whose terms expire shall be elected for a term of office to expire at the third succeeding annual meeting of stockholders after their election. Except as the 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only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EIGHTH:</w:t>
      </w:r>
    </w:p>
    <w:p>
      <w:pPr>
        <w:spacing w:after="0" w:line="225"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8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B. 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83"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C. 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BIOMX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COMPOSITE CERTIFICATE OF INCORPORATION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Certificate of Incorporation filed December 13, 2018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October 28,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August 31,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July 9,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August 20,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Certificate of Amendment of Certificate of Incorporation filed November 17,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BIOMX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245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name of the corporation is BiomX Inc. (hereinafter called the “Corporation”).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The registered office of the Corporation is to be located at 850 New Burton Road, Suite 201, in the City of Dover, in the County of Kent, 19904.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its registered agent at that address is Cogency Global Inc.</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lawful act or activity for which corporations may be organized under the General Corporation Law of Delaware (“GCL”).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The name and mailing address of the incorporator is: Jaszick Maldonado, c/o Loeb &amp; Loeb LLP, 345 Park Avenue, New York NY 10154.</w:t>
      </w:r>
    </w:p>
    <w:p>
      <w:pPr>
        <w:spacing w:after="0" w:line="22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FIFTH:</w:t>
      </w:r>
      <w:r>
        <w:rPr>
          <w:rFonts w:ascii="Times New Roman" w:cs="Times New Roman" w:eastAsia="Times New Roman" w:hAnsi="Times New Roman"/>
          <w:sz w:val="29"/>
          <w:szCs w:val="29"/>
          <w:color w:val="FF0000"/>
          <w:strike w:val="1"/>
          <w:vertAlign w:val="superscript"/>
        </w:rPr>
        <w:t>2</w:t>
      </w:r>
      <w:r>
        <w:rPr>
          <w:rFonts w:ascii="Times New Roman" w:cs="Times New Roman" w:eastAsia="Times New Roman" w:hAnsi="Times New Roman"/>
          <w:sz w:val="18"/>
          <w:szCs w:val="18"/>
          <w:color w:val="auto"/>
        </w:rPr>
        <w:t xml:space="preserve"> The total number of shares of all classes of capital stock which the Corporation shall have authority to issue is 751,000,000, of which 750,000,000 shares shall be common stock, par value $.0001 per share (“Common Stock”) and 1,000,000 shares shall be preferred stock, par value $.0001 per share (“Preferred Stock”).</w:t>
      </w:r>
    </w:p>
    <w:p>
      <w:pPr>
        <w:spacing w:after="0" w:line="20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000000"/>
        </w:rPr>
        <w:t>Subject to this Certificate of Amendment becoming effective pursuant to the General Corporation Law of the State of Delaware, at 12:01 a.m. on August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26, 2024 (the “Effective Time”), the shares of Common Stock issued and outstanding or held in treasury immediately prior to the Effective Time (the “Old Common Stock”) shall be reclassified as and converted into a different number of shares of Common Stock (the “New Common Stock”) such that each ten shares of Old Common Stock shall, at the Effective Time, be automatically reclassified as and converted into one share of New Common Stock (the “Reverse Stock Split”). From and after the Effective Time, certificates representing the Old Common Stock shall represent the number of whole shares of New Common Stock into which such Old Common Stock shall have been reclassified pursuant to this Certificate of Amendment. No fractional shares of Common Stock shall be issued as a result of the Reverse Stock Split. Fractional share resulting from the Reverse Stock Split will be rounded up to the next whole share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29"/>
          <w:szCs w:val="29"/>
          <w:u w:val="single" w:color="auto"/>
          <w:color w:val="0000FF"/>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17830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line="233" w:lineRule="auto"/>
        <w:tabs>
          <w:tab w:leader="none" w:pos="340" w:val="left"/>
        </w:tabs>
        <w:numPr>
          <w:ilvl w:val="0"/>
          <w:numId w:val="9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provision has been revised to reflect changes effectuated by the Certificate of Amendment filed October 28, 2019.</w:t>
      </w:r>
    </w:p>
    <w:p>
      <w:pPr>
        <w:ind w:left="340" w:hanging="332"/>
        <w:spacing w:after="0" w:line="181" w:lineRule="auto"/>
        <w:tabs>
          <w:tab w:leader="none" w:pos="340" w:val="left"/>
        </w:tabs>
        <w:numPr>
          <w:ilvl w:val="0"/>
          <w:numId w:val="9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provision has been revised to reflect changes effectuated by the Certificate of Amendment filed August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ind w:right="60"/>
        <w:spacing w:after="0" w:line="259" w:lineRule="auto"/>
        <w:rPr>
          <w:sz w:val="20"/>
          <w:szCs w:val="20"/>
          <w:color w:val="auto"/>
        </w:rPr>
      </w:pPr>
      <w:r>
        <w:rPr>
          <w:rFonts w:ascii="Times New Roman" w:cs="Times New Roman" w:eastAsia="Times New Roman" w:hAnsi="Times New Roman"/>
          <w:sz w:val="18"/>
          <w:szCs w:val="18"/>
          <w:u w:val="single" w:color="auto"/>
          <w:color w:val="0000FF"/>
        </w:rPr>
        <w:t>[Subject to this Certificate of Amendment becoming effective pursuant to the General Corporation Law of the State of Delaware, at 12:01 a.m. Eastern Time on November 25, 2025 (the “Effective Time"), the shares of Common Stock issued and outstanding or held in treasury immediately prior to the 2025 Effective Time (the “Old Common Stock") shall be reclassified as and converted into a different number of shares of Common Stock (the “New Common Stock") such that each 19 shares of Old Common Stock shall, at the Effective Time, be automatically reclassified as and converted into one share of New Common Stock (the “Reverse Stock Split"). From and after the Effective Time, certificates representing the Old Common Stock shall represent the number of whole shares of New Common Stock into which such Old Common Stock shall have been reclassified pursuant to this Certificate of Amendment. No fractional shares of Common Stock shall be issued as a result of the Reverse Stock Split. Fractional share resulting from the Reverse Stock Split will be rounded up to the next whole share.]</w:t>
      </w:r>
      <w:r>
        <w:rPr>
          <w:rFonts w:ascii="Times New Roman" w:cs="Times New Roman" w:eastAsia="Times New Roman" w:hAnsi="Times New Roman"/>
          <w:sz w:val="29"/>
          <w:szCs w:val="29"/>
          <w:u w:val="single" w:color="auto"/>
          <w:color w:val="0000FF"/>
          <w:vertAlign w:val="superscript"/>
        </w:rPr>
        <w:t>3</w:t>
      </w:r>
    </w:p>
    <w:p>
      <w:pPr>
        <w:spacing w:after="0" w:line="61"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92" w:lineRule="exact"/>
        <w:rPr>
          <w:sz w:val="20"/>
          <w:szCs w:val="20"/>
          <w:color w:val="auto"/>
        </w:rPr>
      </w:pPr>
    </w:p>
    <w:p>
      <w:pPr>
        <w:ind w:left="340" w:right="42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Except as otherwise required by law or as otherwise provided in any Preferred Stock Designation, the holders of the Common Stock shall exclusively possess all voting power and each share of Common Stock shall have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2" w:lineRule="exact"/>
        <w:rPr>
          <w:sz w:val="20"/>
          <w:szCs w:val="20"/>
          <w:color w:val="auto"/>
        </w:rPr>
      </w:pPr>
    </w:p>
    <w:p>
      <w:pPr>
        <w:ind w:left="5580" w:right="2160" w:hanging="5572"/>
        <w:spacing w:after="0" w:line="654" w:lineRule="auto"/>
        <w:tabs>
          <w:tab w:leader="none" w:pos="333" w:val="left"/>
        </w:tabs>
        <w:numPr>
          <w:ilvl w:val="0"/>
          <w:numId w:val="93"/>
        </w:numPr>
        <w:rPr>
          <w:rFonts w:ascii="Times New Roman" w:cs="Times New Roman" w:eastAsia="Times New Roman" w:hAnsi="Times New Roman"/>
          <w:sz w:val="30"/>
          <w:szCs w:val="30"/>
          <w:u w:val="single" w:color="auto"/>
          <w:color w:val="0000FF"/>
          <w:vertAlign w:val="superscript"/>
        </w:rPr>
      </w:pPr>
      <w:r>
        <w:rPr>
          <w:rFonts w:ascii="Times New Roman" w:cs="Times New Roman" w:eastAsia="Times New Roman" w:hAnsi="Times New Roman"/>
          <w:sz w:val="18"/>
          <w:szCs w:val="18"/>
          <w:u w:val="single" w:color="auto"/>
          <w:color w:val="0000FF"/>
        </w:rPr>
        <w:t xml:space="preserve">This provision has been revised to reflect changes effectuated by the Certificate of Amendment filed November 17, 2025. </w:t>
      </w:r>
      <w:r>
        <w:rPr>
          <w:rFonts w:ascii="Times New Roman" w:cs="Times New Roman" w:eastAsia="Times New Roman" w:hAnsi="Times New Roman"/>
          <w:sz w:val="18"/>
          <w:szCs w:val="18"/>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spacing w:after="0" w:line="253" w:lineRule="auto"/>
        <w:rPr>
          <w:sz w:val="20"/>
          <w:szCs w:val="20"/>
          <w:color w:val="auto"/>
        </w:rPr>
      </w:pPr>
      <w:r>
        <w:rPr>
          <w:rFonts w:ascii="Times New Roman" w:cs="Times New Roman" w:eastAsia="Times New Roman" w:hAnsi="Times New Roman"/>
          <w:sz w:val="18"/>
          <w:szCs w:val="18"/>
          <w:color w:val="auto"/>
        </w:rPr>
        <w:t>SIXTH: This Article Sixth shall apply during the period commencing upon the filing of this Certificate of Incorporation and terminating upon the consummation of any “Business Combination” (as defined below). A “Business Combination” shall mean any merger, capital stock exchange, asset acquisition, stock purchase, recapitalization,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 The “fair market value” for purposes of this Article Sixth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w:t>
      </w:r>
    </w:p>
    <w:p>
      <w:pPr>
        <w:spacing w:after="0" w:line="190" w:lineRule="exact"/>
        <w:rPr>
          <w:sz w:val="20"/>
          <w:szCs w:val="20"/>
          <w:color w:val="auto"/>
        </w:rPr>
      </w:pPr>
    </w:p>
    <w:p>
      <w:pPr>
        <w:ind w:left="340" w:right="60"/>
        <w:spacing w:after="0" w:line="289" w:lineRule="auto"/>
        <w:rPr>
          <w:sz w:val="20"/>
          <w:szCs w:val="20"/>
          <w:color w:val="auto"/>
        </w:rPr>
      </w:pPr>
      <w:r>
        <w:rPr>
          <w:rFonts w:ascii="Times New Roman" w:cs="Times New Roman" w:eastAsia="Times New Roman" w:hAnsi="Times New Roman"/>
          <w:sz w:val="17"/>
          <w:szCs w:val="17"/>
          <w:color w:val="auto"/>
        </w:rPr>
        <w:t>A. Prior to the consummation of a Business Combination, the Corporation shall either (i) submit any Business Combination to its holders 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158" w:lineRule="exact"/>
        <w:rPr>
          <w:sz w:val="20"/>
          <w:szCs w:val="20"/>
          <w:color w:val="auto"/>
        </w:rPr>
      </w:pPr>
    </w:p>
    <w:p>
      <w:pPr>
        <w:ind w:left="340" w:right="300"/>
        <w:spacing w:after="0" w:line="266" w:lineRule="auto"/>
        <w:rPr>
          <w:sz w:val="20"/>
          <w:szCs w:val="20"/>
          <w:color w:val="auto"/>
        </w:rPr>
      </w:pPr>
      <w:r>
        <w:rPr>
          <w:rFonts w:ascii="Times New Roman" w:cs="Times New Roman" w:eastAsia="Times New Roman" w:hAnsi="Times New Roman"/>
          <w:sz w:val="18"/>
          <w:szCs w:val="18"/>
          <w:color w:val="auto"/>
        </w:rPr>
        <w:t>B. 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176" w:lineRule="exact"/>
        <w:rPr>
          <w:sz w:val="20"/>
          <w:szCs w:val="20"/>
          <w:color w:val="auto"/>
        </w:rPr>
      </w:pPr>
    </w:p>
    <w:p>
      <w:pPr>
        <w:ind w:left="340" w:right="20"/>
        <w:spacing w:after="0" w:line="252" w:lineRule="auto"/>
        <w:rPr>
          <w:sz w:val="20"/>
          <w:szCs w:val="20"/>
          <w:color w:val="auto"/>
        </w:rPr>
      </w:pPr>
      <w:r>
        <w:rPr>
          <w:rFonts w:ascii="Times New Roman" w:cs="Times New Roman" w:eastAsia="Times New Roman" w:hAnsi="Times New Roman"/>
          <w:sz w:val="18"/>
          <w:szCs w:val="18"/>
          <w:color w:val="auto"/>
        </w:rPr>
        <w:t>C. 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19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 The Corporation will not consummate any Business Combination unless it has net tangible assets of at least $5,000,001 upon consummation of such Business Combination.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left="340"/>
        <w:spacing w:after="0" w:line="253" w:lineRule="auto"/>
        <w:rPr>
          <w:sz w:val="20"/>
          <w:szCs w:val="20"/>
          <w:color w:val="auto"/>
        </w:rPr>
      </w:pPr>
      <w:r>
        <w:rPr>
          <w:rFonts w:ascii="Times New Roman" w:cs="Times New Roman" w:eastAsia="Times New Roman" w:hAnsi="Times New Roman"/>
          <w:sz w:val="18"/>
          <w:szCs w:val="18"/>
          <w:color w:val="auto"/>
        </w:rPr>
        <w:t>E. In the event that the Corporation does not consummate a Business Combination by 24 months from the consummation of the IPO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Account plus any pro rata interest earned on the funds held in the Trust Account and not previously released to the Corporation for its working capital requirements or necessary to pay its taxes divided by the total number of IPO Shares then outstanding.</w:t>
      </w:r>
    </w:p>
    <w:p>
      <w:pPr>
        <w:spacing w:after="0" w:line="190"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F. 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w:t>
      </w:r>
    </w:p>
    <w:p>
      <w:pPr>
        <w:spacing w:after="0" w:line="176"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G. Prior to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79"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SEVENTH: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Election of directors need not be by ballot unless the by-laws of the Corporation so provide.</w:t>
      </w:r>
    </w:p>
    <w:p>
      <w:pPr>
        <w:spacing w:after="0" w:line="225"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B. The Board of Directors shall have the power, without the assent or vote of the stockholders, to make, alter, amend, change, add to or repeal the by-laws of the Corporation as provided in the by-laws of the Corporation.</w:t>
      </w:r>
    </w:p>
    <w:p>
      <w:pPr>
        <w:spacing w:after="0" w:line="162" w:lineRule="exact"/>
        <w:rPr>
          <w:sz w:val="20"/>
          <w:szCs w:val="20"/>
          <w:color w:val="auto"/>
        </w:rPr>
      </w:pPr>
    </w:p>
    <w:p>
      <w:pPr>
        <w:ind w:left="340" w:right="100"/>
        <w:spacing w:after="0" w:line="256" w:lineRule="auto"/>
        <w:rPr>
          <w:sz w:val="20"/>
          <w:szCs w:val="20"/>
          <w:color w:val="auto"/>
        </w:rPr>
      </w:pPr>
      <w:r>
        <w:rPr>
          <w:rFonts w:ascii="Times New Roman" w:cs="Times New Roman" w:eastAsia="Times New Roman" w:hAnsi="Times New Roman"/>
          <w:sz w:val="18"/>
          <w:szCs w:val="18"/>
          <w:color w:val="auto"/>
        </w:rPr>
        <w:t>C.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87" w:lineRule="exact"/>
        <w:rPr>
          <w:sz w:val="20"/>
          <w:szCs w:val="20"/>
          <w:color w:val="auto"/>
        </w:rPr>
      </w:pPr>
    </w:p>
    <w:p>
      <w:pPr>
        <w:ind w:left="340" w:right="120"/>
        <w:spacing w:after="0" w:line="281" w:lineRule="auto"/>
        <w:rPr>
          <w:sz w:val="20"/>
          <w:szCs w:val="20"/>
          <w:color w:val="auto"/>
        </w:rPr>
      </w:pPr>
      <w:r>
        <w:rPr>
          <w:rFonts w:ascii="Times New Roman" w:cs="Times New Roman" w:eastAsia="Times New Roman" w:hAnsi="Times New Roman"/>
          <w:sz w:val="17"/>
          <w:szCs w:val="17"/>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Amended and Restated Certificate of Incorporation, and to any bylaws from time to time made by the stockholders; provided, however, that no bylaw so made shall invalidate any prior act of the directors which would have been valid if such bylaws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830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5" w:lineRule="exact"/>
        <w:rPr>
          <w:sz w:val="20"/>
          <w:szCs w:val="20"/>
          <w:color w:val="auto"/>
        </w:rPr>
      </w:pPr>
    </w:p>
    <w:p>
      <w:pPr>
        <w:ind w:left="5580" w:right="2320" w:hanging="5572"/>
        <w:spacing w:after="0" w:line="623" w:lineRule="auto"/>
        <w:tabs>
          <w:tab w:leader="none" w:pos="333" w:val="left"/>
        </w:tabs>
        <w:numPr>
          <w:ilvl w:val="0"/>
          <w:numId w:val="9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provision has been revised to reflect changes effectuated by the Certificate of Amendment filed October 28, 2019.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7" w:name="page138"/>
    <w:bookmarkEnd w:id="137"/>
    <w:p>
      <w:pPr>
        <w:ind w:left="340" w:right="20"/>
        <w:spacing w:after="0" w:line="252" w:lineRule="auto"/>
        <w:rPr>
          <w:sz w:val="20"/>
          <w:szCs w:val="20"/>
          <w:color w:val="auto"/>
        </w:rPr>
      </w:pPr>
      <w:r>
        <w:rPr>
          <w:rFonts w:ascii="Times New Roman" w:cs="Times New Roman" w:eastAsia="Times New Roman" w:hAnsi="Times New Roman"/>
          <w:sz w:val="18"/>
          <w:szCs w:val="18"/>
          <w:color w:val="auto"/>
        </w:rPr>
        <w:t>E. The Board of Directors shall be divided into three classes: Class I, Class II and Class III. The number of directors in each class shall be fixed exclusively by the Board of Directors and shall be as nearly equal as possible. Following the filing of the amendment to the certificate of incorporation including this provision, the entire Board of Directors will be elected at the first Annual Meeting of Stockholders. At such first Annual Meeting of Stockholders, the directors in Class I shall be elected for a term expiring at the second Annual Meeting of Stockholders, the directors in Class II shall be elected for a term expiring at the third Annual Meeting of Stockholders and the directors in Class III shall be elected for a term expiring at the fourth Annual Meeting of Stockholders. Commencing at the second Annual Meeting of Stockholders following the filing of the amendment to the certificate of incorporation including this provision, and at each annual meeting thereafter, directors elected to succeed those directors whose terms expire shall be elected for a term of office to expire at the third succeeding annual meeting of stockholders after their election. Except as the 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only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EIGHTH:</w:t>
      </w:r>
    </w:p>
    <w:p>
      <w:pPr>
        <w:spacing w:after="0" w:line="225"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8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B. 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83"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C. 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BiomX Inc., or the Company, we, us or our, has one class of securities registered under Section 12 of the Securities Exchange Act of 1934, as amended, or the Exchange Act – shares of Common Stock, $0.0001 par value per share, or the Common Stock. The shares of Common Stock registered under Section 12 of the Exchange Act are listed on the NYSE American Stock Market.</w:t>
      </w:r>
    </w:p>
    <w:p>
      <w:pPr>
        <w:spacing w:after="0" w:line="172"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following summary is a description of the Company’s securities registered pursuant to Section 12 of the Exchange Act. We encourage you to read our Amended and Restated Certificate of Incorporation, as amended, or our Certificate of Incorporation, and Amended and Restated By-laws, or our Bylaws, which have been filed with the Securities and Exchange Commission, as well as the applicable provisions of the General Corporation Law of the State of Delaware, or the DGCL, for more information.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authorized capital stock consists of 750,000,000 shares of Common Stock, and 1,000,000 shares of preferred stock, $0.0001 par value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holders of record of our Common Stock are entitled to one vote for each share held on all matters to be voted on by stockholders. Our stockholders have no conversion, preemptive or other subscription rights and there are no sinking fund or redemption provisions applicable to the shares of Common Stock. There is no cumulative voting with respect to the election of directors. Our stockholders are entitled to receive ratable dividends when, as and if declared by our Board of Directors out of funds legally available therefor.</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in the foreseeable future. The payment of cash dividends in the future will be dependent upon our revenues and earnings, if any, capital requirements and general financial condition. The payment of any cash dividends will be within the discretion of our Board of Directors at such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X Preferred Stock</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147,512 Series X Non-Voting Convertible Preferred Stock, par value $0.0001 per share, outstanding, or the Series X Preferred Stock. Our Certificate of Incorporation authorizes the issuance of 1,000,000 shares of preferred stock with such designations, rights and preferences as may be determined from time to time by our Board of Directors. Accordingly, our Board of Directors is empowered, without stockholder approval, to issue preferred stock with dividend, liquidation, conversion, voting or other rights which could adversely affect the voting power or other rights of the holders of common stock. In addition, the preferred stock could be utilized as a method of discouraging, delaying or preventing a change in control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powers, preferences, rights, qualifications, limitations and restrictions applicable to the Series X Preferred Stock are set forth in the Certificate of Designations, or Series X Certificate of Designations, which was filed with the Secretary of State of the State of Delaware prior to the closing of the merger between us and Adaptive Phage Therapeutics, Inc., or APT, on March 15, 2024.</w:t>
      </w:r>
    </w:p>
    <w:p>
      <w:pPr>
        <w:spacing w:after="0" w:line="176"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Holders of Series X Preferred Stock are entitled to receive dividends on shares of Series X Preferred Stock equal to, on an as-if-converted-to-Common-Stock basis, and in the same form as, dividends actually paid on shares of the Common Stock. Except as otherwise required by law or with respect to the Series X Preferred Stock protective provisions set forth in the Series X Certificate of Designations and described below, the Series X Preferred Stock does not have voting rights.</w:t>
      </w:r>
    </w:p>
    <w:p>
      <w:pPr>
        <w:spacing w:after="0" w:line="180"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The Series X Certificate of Designations contains certain customary covenants of the Company that are customary for documents of this type, including restrictions on (i) consummating Fundamental Transactions (as defined in the Series X Certificate of Designations), or (ii) reclassifying the outstanding Common Stock, including but not limited to a stock dividend or reverse stock split, in each case prior to the stockholder approval of the conversion of the Series X Preferred Stock into shares of Common Stock in accordance with the rules of NYSE American, or the Conversion Proposal, without the affirmative vote or written approval, agreement or waiver of the holders of 70% of the then outstanding shares of the Series X Preferred Stock, or the Requisite Holders. The Series X Preferred Stock does not have a preference upon any liquidation, dissolution or winding-up of the Company.</w:t>
      </w:r>
    </w:p>
    <w:p>
      <w:pPr>
        <w:spacing w:after="0" w:line="1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Following stockholder approval of the Conversion Proposal, each share of Series X Preferred Stock will automatically convert into 1,000 shares of Common Stock, subject to certain limitations, including that a holder of Series X Preferred Stock is prohibited from converting shares of Series X Preferred Stock into shares of Common Stock if, as a result of such conversion, such holder, together with any person whose beneficial ownership would be aggregated with such holder’s for purposes of Section 13(d) or Section 16 of the Securities Exchange Act of 1934, as amended, or the Exchange Act, would beneficially own more than a specified percentage (to be established by the holder between 0% and 19.99%) of the total number of shares of Common Stock issued and outstanding immediately after giving effect to such conversion.</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the event the Series X Preferred Stock is not convertible pursuant to the terms of the Series X Certificate of Designations by the earlier to occur of (i) the time that the stockholders’ meeting is ultimately concluded or (ii) five months after the initial issuance of the Series X Preferred Stock, or the Deadline Date, upon written request by the Requisite Holders, the Company shall be required to pay to each holder of Series X Preferred Stock an amount in cash equal to the fair value of the shares of Series X Preferred Stock held by such holder, based on an average of the daily volume weighted average price of the Common Stock for the 30 trading days ending on (a) the first trading day prior to the Stockholders’ Meeting or (b) the Deadline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Y Preferred Stock</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have 3,300 Series Y Convertible Preferred Stock, par value $0.0001 per share, or the Series Y Preferred Stock, outstanding. The powers, preferences, rights, qualifications, limitations and restrictions applicable to the Series Y Preferred Stock are set forth in the Certificate of Designations, or the Series Y Certificate of Designations, which was filed with the Secretary of State of the State of Delaware pursuant to the a Securities Purchase Agreement between us and an investor on January 13, 2026.</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Holders of Series Y Preferred Stock are entitled to receive dividends on the stated value of Series Y Preferred Stock at a rate of 15% per annum, payable quarterly, at the holder’s sole election, either in cash or in shares of Common Stock, subject to adjustment as set forth in the Series Y Certificate of Designations. Except as otherwise required by law or with respect to the Series Y Preferred Stock protective provisions set forth in the Series Y Certificate of Designations and described below, the Series Y Preferred Stock does not have voting rights. Each share of Series Y Preferred Stock will have a maturity of one year from the closing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Series Y Certificate of Designations contains certain customary covenants of the Company that are customary for documents of this type, including restrictions on authorizing or issuing any capital stock that is of senior rank to, or pari passu rank with, the Series Y Preferred Stock with respect to the preferences as to dividends, distributions and payments upon the liquidation, dissolution and winding up of the Company. The Series Y Preferred Stock ranks senior to the Company’s Common Stock and to the Company’s Series X Preferred Stock with respect to dividends, distributions and payments upon liquidation, dissolution or winding up of the Company.</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Each share of Series Y Preferred Stock is convertible, at the holder’s option, into shares of Common Stock at any time after the Initial Issuance Date (as described in the Series Y Certification of Designations) subject to certain limitations, including that a holder of Series Y Preferred Stock is prohibited from converting shares of Series Y Preferred Stock into shares of Common Stock if, as a result of such conversion, such holder, together with any person whose beneficial ownership would be aggregated with such holder’s for purposes of Section 13(d) or Section 16 of the Securities Exchange Act of 1934, as amended, or the Exchange Act, would beneficially own more than a 19.99% of the total number of shares of Common Stock issued and outstanding immediately after giving effect to such conversion. The number of shares of Common Stock issuable upon conversion is based on the $1,000 stated value per share (plus any accrued and unpaid dividends and certain other amounts) divided by a conversion price that initially is $2.00 (subject to adjustment for stock splits, stock dividends, stock combinations, recapitalizations and similar transactions) per share. Following stockholder approval as required under NYSE American rules, the conversion price will thereafter be reduced to equal the lower of (i) the conversion price then in effect and (ii) the closing sale price of the Common Stock on the date immediately prior to such stockholder approval.</w:t>
      </w:r>
    </w:p>
    <w:p>
      <w:pPr>
        <w:spacing w:after="0" w:line="19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Series Y Preferred Stock has a liquidation preference. In the event of a liquidation, dissolution or winding-up of the Company, holders of Series Y Preferred Stock are entitled to receive, before any amount is paid to holders of junior stock and pari passu with any parity stock then outstanding, an amount per share equal to the greater of (i) 150% of the conversion amount of such share and (ii) the amount such holder would receive if such holder converted such share into Common Stock immediately prior to such liquidation event.</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event of the occurrence of certain Triggering Events (as defined in the Series Y Certificate of Designations), a holder of Series Y Preferred Stock may require the Company to redeem all or a portion of such holder’s Series Y Preferred Stock, and the Company shall be required to pay the applicable redemption price in cash in accordance with the Series Y Certificate of Designations. In addition, upon any Bankruptcy Triggering Event (as defined in the Series Y Certificate of Designations), the Company is required to immediately redeem all outstanding Series Y Preferred Stock at the applicable redemption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Certificate of Incorporation and Bylaws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162" w:lineRule="exact"/>
        <w:rPr>
          <w:sz w:val="20"/>
          <w:szCs w:val="20"/>
          <w:color w:val="auto"/>
        </w:rPr>
      </w:pPr>
    </w:p>
    <w:p>
      <w:pPr>
        <w:ind w:left="5580" w:right="1540" w:hanging="4924"/>
        <w:spacing w:after="0" w:line="783" w:lineRule="auto"/>
        <w:tabs>
          <w:tab w:leader="none" w:pos="9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10% or more of our outstanding voting stock (otherwise known as an “interested stockholder”);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41" w:name="page142"/>
    <w:bookmarkEnd w:id="141"/>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“business combination” includes a merger or sale of more than 10% of our assets. However, the above provisions of Section 203 do not apply if:</w:t>
      </w:r>
    </w:p>
    <w:p>
      <w:pPr>
        <w:spacing w:after="0" w:line="237" w:lineRule="exact"/>
        <w:rPr>
          <w:sz w:val="20"/>
          <w:szCs w:val="20"/>
          <w:color w:val="auto"/>
        </w:rPr>
      </w:pPr>
    </w:p>
    <w:p>
      <w:pPr>
        <w:ind w:left="980" w:hanging="324"/>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approves the transaction that made the stockholder an “interested stockholder,” prior to the date of the transaction;</w:t>
      </w:r>
    </w:p>
    <w:p>
      <w:pPr>
        <w:spacing w:after="0" w:line="225" w:lineRule="exact"/>
        <w:rPr>
          <w:rFonts w:ascii="Times New Roman" w:cs="Times New Roman" w:eastAsia="Times New Roman" w:hAnsi="Times New Roman"/>
          <w:sz w:val="18"/>
          <w:szCs w:val="18"/>
          <w:color w:val="auto"/>
        </w:rPr>
      </w:pPr>
    </w:p>
    <w:p>
      <w:pPr>
        <w:ind w:left="980" w:right="340" w:hanging="324"/>
        <w:spacing w:after="0" w:line="312" w:lineRule="auto"/>
        <w:tabs>
          <w:tab w:leader="none" w:pos="9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a majority vote of our Board of Directors, or by our chief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each of which will generally serve for a term of three years with only one class of directors being elected in each year. This system of electing Directors may tend to discourage a third party from making a tender offer or otherwise attempting to obtain control of us, because it generally makes it more difficult for stockholders to replace a majority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22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to bring matters before our annual meeting of stockholders needs to be delivered to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w:t>
      </w:r>
    </w:p>
    <w:p>
      <w:pPr>
        <w:spacing w:after="0" w:line="1"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18"/>
          <w:szCs w:val="18"/>
          <w:color w:val="auto"/>
        </w:rPr>
        <w:t>earlier than the opening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scheduled date of the annual meeting of stockholders, and a stockholder’s notice to nominate candidates for election as directors needs to be delivered to us not less than 120 days prior to any meeting of stockholders called for the election of directors. Our Bylaws also specify certain requirements as to the form and content of a stockholders’ notice. These provisions may preclude our stockholders from bringing matters before our annual meeting of stockholders or from making nominations for directors at our annual meeting of stockholders.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by and between BiomX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and Indemnitee recognize the increasing difficulty in obtaining liability insurance for directors, officers and key employees, the significant increases in the cost of such insurance and the general reductions in the coverage of such insurance. The Company and Indemnitee further recognize the substantial increase in corporate litigation in general, subjecting directors, officers and key employees to expensive litigation risks at the same time as the availability and coverage of liability insurance has been severely limited. Indemnitee does not regard the current protection available as adequate under the present circumstances, and Indemnitee may not be willing to continue to serve in Indemnitee’s current capacity with the Company without additional protection. The Company desires to attract and retain the services of highly qualified individuals, such as Indemnitee, and to indemnify its directors, officers and key employees so as to provide them with the maximum protection permitted by law.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made in this Agreement, and for other good and valuable consideration, the receipt and sufficiency of which is hereby acknowledged, the Company and Indemnitee hereby agree as follows:</w:t>
      </w:r>
    </w:p>
    <w:p>
      <w:pPr>
        <w:spacing w:after="0" w:line="158" w:lineRule="exact"/>
        <w:rPr>
          <w:sz w:val="20"/>
          <w:szCs w:val="20"/>
          <w:color w:val="auto"/>
        </w:rPr>
      </w:pPr>
    </w:p>
    <w:p>
      <w:pPr>
        <w:ind w:left="840" w:hanging="184"/>
        <w:spacing w:after="0"/>
        <w:tabs>
          <w:tab w:leader="none" w:pos="8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57"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Third-Party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the Company shall indemnify Indemnitee, if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is or is threatened to be made, a party to or a participant (as a witness or otherwise) in any Proceeding (other than a Proceeding by or in the right of the Company to procure a judgment in the Company’s favor), against all Expenses, judgments, fines and amounts paid in settlement (if such settlement is approved in advance by the Company, which approval shall not be unreasonably withheld) actually and reasonably incurred by Indemnitee in connection with such Proceeding if Indemnitee acted in good faith and in a manner Indemnitee reasonably believed to be in or not opposed to the best interests of the Company and, in the case of a criminal Proceeding, had no reasonable cause to believe Indemnitee’s conduct was unlawful.</w:t>
      </w:r>
    </w:p>
    <w:p>
      <w:pPr>
        <w:spacing w:after="0" w:line="182" w:lineRule="exact"/>
        <w:rPr>
          <w:rFonts w:ascii="Times New Roman" w:cs="Times New Roman" w:eastAsia="Times New Roman" w:hAnsi="Times New Roman"/>
          <w:sz w:val="18"/>
          <w:szCs w:val="18"/>
          <w:color w:val="auto"/>
        </w:rPr>
      </w:pPr>
    </w:p>
    <w:p>
      <w:pPr>
        <w:ind w:right="120" w:firstLine="1304"/>
        <w:spacing w:after="0" w:line="255" w:lineRule="auto"/>
        <w:tabs>
          <w:tab w:leader="none" w:pos="155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Proceedings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the Company shall indemnify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if Indemnitee was, is or is threatened to be made a party to or a participant (as a witness or otherwise) in any Proceeding by or in the right of the Company to procure a judgment in the Company’s favor, against all Expenses actually and reasonably incurred by Indemnitee in connection with such Proceeding if Indemnitee acted in good faith and in a manner Indemnitee reasonably believed to be in or not opposed to the best interests of the Company, except that no indemnification shall be made in respect of any claim, issue or matter as to which Indemnitee shall have been finally adjudicated by court order or judgment to be liable to the Company unless and only to the extent that the Court of Chancery or the court in which such Proceeding is or was pending shall determine upon application that, in view of all the circumstances of the case, Indemnitee is fairly and reasonably entitled to indemnity for such expenses which such court shall deem proper.</w:t>
      </w:r>
    </w:p>
    <w:p>
      <w:pPr>
        <w:spacing w:after="0" w:line="184" w:lineRule="exact"/>
        <w:rPr>
          <w:rFonts w:ascii="Times New Roman" w:cs="Times New Roman" w:eastAsia="Times New Roman" w:hAnsi="Times New Roman"/>
          <w:sz w:val="18"/>
          <w:szCs w:val="18"/>
          <w:color w:val="auto"/>
        </w:rPr>
      </w:pPr>
    </w:p>
    <w:p>
      <w:pPr>
        <w:ind w:right="100" w:firstLine="1304"/>
        <w:spacing w:after="0" w:line="254"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 on the Merits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and to the extent that Indemnitee has been successful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merits or otherwise in defense of any Proceeding referred to in Section 1(a) or Section 1(b) hereof or the defense of any claim, issue or matter therein, in whole or in part, the Company shall indemnify Indemnitee against all Expenses actually and reasonably incurred by Indemnitee in connection therewith. Without limiting the generality of the foregoing, if Indemnitee is successful on the merits or otherwise as to one or more but less than all claims, issues or matters in a Proceeding, the Company shall indemnify Indemnitee against all Expenses actually and reasonably incurred by Indemnitee in connection with such successfully resolved claims, issues or matters to the fullest extent permitted by applicable law. If any Proceeding is disposed of on the merits or otherwise (including a disposition without prejudice), without (i) the disposition being adverse to Indemnitee, (ii) an adjudication that Indemnitee was liable to the Company, (iii) a plea of guilty by Indemnitee, (iv) an adjudication that Indemnitee did not act in good faith and in a manner Indemnitee reasonably believed to be in or not opposed to the best interests of the Company, and (v) with respect to any criminal Proceeding, an adjudication that Indemnitee had reasonable cause to believe Indemnitee’s conduct was unlawful, Indemnitee shall be considered for the purposes hereof to have been wholly successful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jc w:val="both"/>
        <w:ind w:right="80" w:firstLine="1304"/>
        <w:spacing w:after="0" w:line="268" w:lineRule="auto"/>
        <w:tabs>
          <w:tab w:leader="none" w:pos="155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Witness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and to the extent that Indemnitee is a witness or otherwise asked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participate in any Proceeding to which Indemnitee is not a party, the Company shall indemnify Indemnitee against all Expenses actually and reasonably incurred by Indemnitee in connection with such Proceeding.</w:t>
      </w:r>
    </w:p>
    <w:p>
      <w:pPr>
        <w:spacing w:after="0" w:line="170"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 Procedure</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right="100" w:firstLine="1304"/>
        <w:spacing w:after="0" w:line="254" w:lineRule="auto"/>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Advancement of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the Company shall advance all Expenses actually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incurred by Indemnitee in connection with a Proceeding within thirty (30) days after receipt by the Company of a statement requesting such advances from time to time, whether prior to or after final disposition of any Proceeding. Such advances shall be unsecured and interest free and shall be made without regard to Indemnitee’s ability to repay the Expenses and without regard to Indemnitee’s ultimate entitlement to indemnification under the other provisions of this Agreement. Indemnitee shall be entitled to continue to receive advancement of Expenses pursuant to this Section 2(a) unless and until the matter of Indemnitee’s entitlement to indemnification hereunder has been finally adjudicated by court order or judgment from which no further right of appeal exists. Indemnitee hereby undertakes to repay such amounts advanced only if, and to the extent that, it ultimately is determined that Indemnitee is not entitled to be indemnified by the Company under the other provisions of this Agreement. Indemnitee shall qualify for advances upon the execution and delivery of this Agreement, which shall constitute the requisite undertaking with respect to repayment of advances made hereunder and no other form of undertaking shall be required to qualify for advances made hereunder other than the execution of this Agreement.</w:t>
      </w:r>
    </w:p>
    <w:p>
      <w:pPr>
        <w:spacing w:after="0" w:line="185" w:lineRule="exact"/>
        <w:rPr>
          <w:rFonts w:ascii="Times New Roman" w:cs="Times New Roman" w:eastAsia="Times New Roman" w:hAnsi="Times New Roman"/>
          <w:sz w:val="18"/>
          <w:szCs w:val="18"/>
          <w:color w:val="auto"/>
        </w:rPr>
      </w:pPr>
    </w:p>
    <w:p>
      <w:pPr>
        <w:ind w:right="60" w:firstLine="1304"/>
        <w:spacing w:after="0" w:line="256" w:lineRule="auto"/>
        <w:tabs>
          <w:tab w:leader="none" w:pos="155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and Cooperation by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shall promptly notify the Company in writing upon being served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summons, citation, subpoena, complaint, indictment, information or other document relating to any Proceeding or matter for which indemnification will or could be sought under this Agreement. Such notice to the Company shall include a description of the nature of, and facts underlying, the Proceeding, shall be directed to the Chief Executive Officer of the Company and shall be given in accordance with the provisions of Section 13(e) below. In addition, Indemnitee shall give the Company such additional information and cooperation as the Company may reasonably request. Indemnitee’s failure to so notify, provide information and otherwise cooperate with the Company shall not relieve the Company of any obligation that it may have to Indemnitee under this Agreement, except to the extent that the Company is adversely affected by such failure.</w:t>
      </w:r>
    </w:p>
    <w:p>
      <w:pPr>
        <w:spacing w:after="0" w:line="182"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Determination of Entitlement</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right="960" w:firstLine="1952"/>
        <w:spacing w:after="0" w:line="286" w:lineRule="auto"/>
        <w:tabs>
          <w:tab w:leader="none" w:pos="2159"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Final Disposition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this Agreement, no determination as to entitlement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under this Agreement shall be required to be made prior to the final disposition of the Proceeding.</w:t>
      </w:r>
    </w:p>
    <w:p>
      <w:pPr>
        <w:spacing w:after="0" w:line="154" w:lineRule="exact"/>
        <w:rPr>
          <w:rFonts w:ascii="Times New Roman" w:cs="Times New Roman" w:eastAsia="Times New Roman" w:hAnsi="Times New Roman"/>
          <w:sz w:val="18"/>
          <w:szCs w:val="18"/>
          <w:color w:val="auto"/>
        </w:rPr>
      </w:pPr>
    </w:p>
    <w:p>
      <w:pPr>
        <w:ind w:firstLine="1952"/>
        <w:spacing w:after="0" w:line="252" w:lineRule="auto"/>
        <w:tabs>
          <w:tab w:leader="none" w:pos="2209"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Determination and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foregoing, promptly after receipt of a statement requesting payment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the indemnification rights set forth in Section 1 hereof, to the extent required by applicable law, the Company shall take the steps necessary to authorize such payment in the manner set forth in Section 145 of the Delaware General Corporation Law. The Company shall pay any claims made under this Agreement, under any statute, or under any provision of the Company’s Certificate of Incorporation or Bylaws providing for indemnification or advancement of Expenses, within thirty (30) days after a written request for payment thereof has first been received by the Company, and if such claim is not paid in full within such thirty (30) day-period, Indemnitee may, but need not, at any time thereafter bring an action against the Company in the Delaware Court of Chancery to recover the unpaid amount of the claim and, subject to Section 12 hereof, Indemnitee shall also be entitled to be paid for all Expenses actually and reasonably incurred by Indemnitee in connection with bringing such action. It shall be a defense to any such action (other than an action brought to enforce a claim for advancement of Expenses under Section 2(a) hereof) that Indemnitee has not met the standards of conduct which make it permissible under applicable law for the Company to indemnify Indemnitee for the amount claimed. In making a determination with respect to entitlement to indemnification hereunder, the person or persons or entity making such determination shall presume that Indemnitee is entitled to indemnification under this Agreement and the Company shall have the burden of proof to overcome that presumption with clear and convincing evidence to the contrary.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Indemnitee did not act in good faith and in a manner which Indemnitee reasonably believed to be in or not opposed to the best interests of the Company, or, in the case of a criminal Proceeding, that Indemnitee had reasonable cause to believe that Indemnitee’s conduct was unlawful. In addition, it is the parties’ intention that if the Company contests Indemnitee’s right to indemnification, the question of Indemnitee’s right to indemnification shall be for the court to decide, and neither the failure of the Company (including its Board of Directors, any committee or subgroup of the Board of Directors, independent legal counsel, or its stockholders) to have made a determination that indemnification of Indemnitee is proper in the circumstances because Indemnitee has met the applicable standard of conduct required by applicable law, nor an actual determination by the Company (including its Board of Directors, any committee or subgroup of the Board of Directors, independent legal counsel, or its stockholders) that Indemnitee has not met such applicable standard of conduct, shall create a presumption that Indemnitee has or has not met the applicable standard of conduct. If any requested determination with respect to entitlement to indemnification hereunder has not been made within ninety (90) days after the final disposition of the Proceeding, the requisite determination that Indemnitee is entitled to indemnification shall be deemed to have been made.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ind w:right="40" w:firstLine="1304"/>
        <w:spacing w:after="0" w:line="268" w:lineRule="auto"/>
        <w:tabs>
          <w:tab w:leader="none" w:pos="1551"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Directions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payments are required to be made hereunder, the Company shall, in accordance with Indemnitee’s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(but without duplication), (i) pay such Expenses on behalf of Indemnitee, (ii) advance to Indemnitee funds in an amount sufficient to pay such Expenses, or (iii) reimburse Indemnitee for such Expenses.</w:t>
      </w:r>
    </w:p>
    <w:p>
      <w:pPr>
        <w:spacing w:after="0" w:line="170" w:lineRule="exact"/>
        <w:rPr>
          <w:rFonts w:ascii="Times New Roman" w:cs="Times New Roman" w:eastAsia="Times New Roman" w:hAnsi="Times New Roman"/>
          <w:sz w:val="18"/>
          <w:szCs w:val="18"/>
          <w:color w:val="auto"/>
        </w:rPr>
      </w:pPr>
    </w:p>
    <w:p>
      <w:pPr>
        <w:jc w:val="both"/>
        <w:ind w:right="140" w:firstLine="1304"/>
        <w:spacing w:after="0" w:line="262" w:lineRule="auto"/>
        <w:tabs>
          <w:tab w:leader="none" w:pos="154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to Insurers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at the time of the receipt of a notice of a claim pursuant to Section 2(b) hereof, the Company has director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76" w:lineRule="exact"/>
        <w:rPr>
          <w:rFonts w:ascii="Times New Roman" w:cs="Times New Roman" w:eastAsia="Times New Roman" w:hAnsi="Times New Roman"/>
          <w:sz w:val="18"/>
          <w:szCs w:val="18"/>
          <w:color w:val="auto"/>
        </w:rPr>
      </w:pPr>
    </w:p>
    <w:p>
      <w:pPr>
        <w:ind w:right="80" w:firstLine="1304"/>
        <w:spacing w:after="0" w:line="269" w:lineRule="auto"/>
        <w:tabs>
          <w:tab w:leader="none" w:pos="1521" w:val="left"/>
        </w:tabs>
        <w:numPr>
          <w:ilvl w:val="2"/>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Defense of Claim and Selection of Counsel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the Company shall be obligated under Section 2(a) hereof to advance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Expenses with respect to any Proceeding, the Company, if appropriate, shall be entitled to assume the defense of such Proceeding, with counsel reasonably acceptable to Indemnitee,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 (i) Indemnitee shall have the right to employ counsel in any such Proceeding at Indemnitee’s expense; and (ii) if (A) the employment of counsel by Indemnitee has been previously authorized by the Company,</w:t>
      </w:r>
    </w:p>
    <w:p>
      <w:pPr>
        <w:spacing w:after="0" w:line="3" w:lineRule="exact"/>
        <w:rPr>
          <w:rFonts w:ascii="Times New Roman" w:cs="Times New Roman" w:eastAsia="Times New Roman" w:hAnsi="Times New Roman"/>
          <w:sz w:val="17"/>
          <w:szCs w:val="17"/>
          <w:color w:val="auto"/>
        </w:rPr>
      </w:pPr>
    </w:p>
    <w:p>
      <w:pPr>
        <w:ind w:firstLine="8"/>
        <w:spacing w:after="0" w:line="250" w:lineRule="auto"/>
        <w:tabs>
          <w:tab w:leader="none" w:pos="2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have reasonably concluded that there may be a conflict of interest between the Company and Indemnitee in the conduct of any such defense or (C) the Company shall not, in fact, have employed counsel to assume the defense of such Proceeding, then the fees and expenses of Indemnitee’s counsel shall be at the expense of the Company. In addition, if there exists a potential, but not an actual, conflict of interest between the Company and Indemnitee, the actual and reasonable legal fees and expenses incurred by Indemnitee for separate counsel retained by Indemnitee to monitor the Proceeding (so that such counsel may assume Indemnitee’s defense if the conflict of interest between the Company and Indemnitee becomes an actual conflict of interest) shall be deemed to be Expenses that are subject to indemnification hereunder. The existence of an actual or potential conflict of interest, and whether such conflict may be waived, shall be determined pursuant to the rules of attorney professional conduct and applicable law. The Company shall not be required to obtain the consent of Indemnitee for the settlement of any Proceeding the Company has undertaken to defend if the Company assumes full and sole responsibility for each such settlement; provided, however, that the Company shall be required to obtain Indemnitee’s prior written approval, which shall not be unreasonably withheld, before entering into any settlement which (1) does not grant Indemnitee a complete release of liability,</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would impose any penalty or limitation on Indemnitee, or (3) would admit any liability or misconduct by Indemnitee.</w:t>
      </w:r>
    </w:p>
    <w:p>
      <w:pPr>
        <w:spacing w:after="0" w:line="20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Indemnification Rights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right="80" w:firstLine="1304"/>
        <w:spacing w:after="0" w:line="255" w:lineRule="auto"/>
        <w:tabs>
          <w:tab w:leader="none" w:pos="154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this Agreement, the Company hereby agrees to indemnify Indemnitee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law, notwithstanding that such indemnification is not specifically authorized by the other provisions of this Agreement, the Company’s Certificate of Incorporation, the Company’s Bylaws or by statute. In the event of any change, after the date of this Agreement, in any applicable law, statute, or rule which expands the right of a Delaware corporation to indemnify a member of its board of directors or an officer, such changes shall be deemed to be within the purview of Indemnitee’s rights and the Company’s obligations under this Agreement. In the event of any change in any applicable law, statute or rule which narrows the right of a Delaware corporation to indemnify a member of its board of directors or an officer, such changes, to the extent not otherwise required by such law, statute or rule to be applied to this Agreement shall have no effect on this Agreement or the parties’ rights and obligations hereunder.</w:t>
      </w:r>
    </w:p>
    <w:p>
      <w:pPr>
        <w:spacing w:after="0" w:line="184" w:lineRule="exact"/>
        <w:rPr>
          <w:rFonts w:ascii="Times New Roman" w:cs="Times New Roman" w:eastAsia="Times New Roman" w:hAnsi="Times New Roman"/>
          <w:sz w:val="18"/>
          <w:szCs w:val="18"/>
          <w:color w:val="auto"/>
        </w:rPr>
      </w:pPr>
    </w:p>
    <w:p>
      <w:pPr>
        <w:ind w:right="120" w:firstLine="1304"/>
        <w:spacing w:after="0" w:line="262" w:lineRule="auto"/>
        <w:tabs>
          <w:tab w:leader="none" w:pos="1551"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Non-exclusivity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indemnification provided by this Agreement shall not be deemed exclusive of any rights to which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entitled under the Company’s Certificate of Incorporation, its Bylaws, any agreement, any vote of stockholders or disinterested members of the Company’s Board of Directors, the Delaware General Corporation Law, or otherwise, both as to action in Indemnitee’s official capacity and as to action in another capacity while holding such office.</w:t>
      </w:r>
    </w:p>
    <w:p>
      <w:pPr>
        <w:spacing w:after="0" w:line="176" w:lineRule="exact"/>
        <w:rPr>
          <w:rFonts w:ascii="Times New Roman" w:cs="Times New Roman" w:eastAsia="Times New Roman" w:hAnsi="Times New Roman"/>
          <w:sz w:val="18"/>
          <w:szCs w:val="18"/>
          <w:color w:val="auto"/>
        </w:rPr>
      </w:pPr>
    </w:p>
    <w:p>
      <w:pPr>
        <w:ind w:right="40" w:firstLine="1304"/>
        <w:spacing w:after="0" w:line="259" w:lineRule="auto"/>
        <w:tabs>
          <w:tab w:leader="none" w:pos="154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Interest on Unpaid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payment to be made by the Company to Indemnitee hereunder is delayed by more than ninety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(90) days from the date the duly prepared request for such payment is received by the Company, interest shall be paid by the Company to Indemnitee at the legal rate under Delaware law for amounts which the Company indemnifies or is obligated to indemnify for the period commencing with the date on which Indemnitee actually incurs such Expense or pays such judgment, fine or amount in settlement and ending with the date on which such payment is made to Indemnitee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ind w:left="-20" w:right="120" w:firstLine="1304"/>
        <w:spacing w:after="0" w:line="253" w:lineRule="auto"/>
        <w:tabs>
          <w:tab w:leader="none" w:pos="153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Third-Party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acknowledges that Indemnitee has or may from time to time obtain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to indemnification, advancement of expenses and/or insurance provided by one or more third parties (collectively, the “</w:t>
      </w:r>
      <w:r>
        <w:rPr>
          <w:rFonts w:ascii="Times New Roman" w:cs="Times New Roman" w:eastAsia="Times New Roman" w:hAnsi="Times New Roman"/>
          <w:sz w:val="18"/>
          <w:szCs w:val="18"/>
          <w:u w:val="single" w:color="auto"/>
          <w:color w:val="auto"/>
        </w:rPr>
        <w:t>Third-Party Indemnitors</w:t>
      </w:r>
      <w:r>
        <w:rPr>
          <w:rFonts w:ascii="Times New Roman" w:cs="Times New Roman" w:eastAsia="Times New Roman" w:hAnsi="Times New Roman"/>
          <w:sz w:val="18"/>
          <w:szCs w:val="18"/>
          <w:color w:val="auto"/>
        </w:rPr>
        <w:t>”). The Company hereby agrees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obligations to Indemnitee are primary and any obligation of the Third-Party Indemnitors to advance expenses or to provide indemnification for the same expenses or liabilities incurred by Indemnitee are secondary), and that the Company will not assert that the Indemnitee must seek expense advancement or reimbursement, or indemnification, from any Third-Party Indemnitor before the Company must perform its expense advancement and reimbursement, and indemnification obligations, under this Agreement. No advancement or payment by the Third-Party Indemnitors on behalf of Indemnitee with respect to any claim for which Indemnitee has sought indemnification from the Company shall affect the foregoing. The Third-Party Indemnitors shall be subrogated to the extent of such advancement or payment to all of the rights of recovery which Indemnitee would have had against the Company if the Third-Party Indemnitors had not advanced or paid any amount to or on behalf of Indemnitee. If for any reason a court of competent jurisdiction determines that the Third-Party Indemnitors are not entitled to the subrogation rights described in the preceding sentence, the Third-Party Indemnitors shall have a right of contribution by the Company to the Third-Party Indemnitors with respect to any advance or payment by the Third-Party Indemnitors to or on behalf of the Indemnitee.</w:t>
      </w:r>
    </w:p>
    <w:p>
      <w:pPr>
        <w:spacing w:after="0" w:line="189" w:lineRule="exact"/>
        <w:rPr>
          <w:rFonts w:ascii="Times New Roman" w:cs="Times New Roman" w:eastAsia="Times New Roman" w:hAnsi="Times New Roman"/>
          <w:sz w:val="18"/>
          <w:szCs w:val="18"/>
          <w:color w:val="auto"/>
        </w:rPr>
      </w:pPr>
    </w:p>
    <w:p>
      <w:pPr>
        <w:ind w:left="-20" w:right="340" w:firstLine="656"/>
        <w:spacing w:after="0" w:line="262" w:lineRule="auto"/>
        <w:tabs>
          <w:tab w:leader="none" w:pos="8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Partial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Indemnitee is entitled under any provision of this Agreement to indemnification by the Company for some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Expenses, judgments, fines or amounts paid in settlement, actually and reasonably incurred in connection with a Proceeding, but not, however, for the total amount thereof, the Company shall nevertheless indemnify Indemnitee for the portion of such Expenses, judgments, fines and amounts paid in settlement to which Indemnitee is entitled.</w:t>
      </w:r>
    </w:p>
    <w:p>
      <w:pPr>
        <w:spacing w:after="0" w:line="176"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Director and Officer Liability Insurance</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left="-20" w:firstLine="1304"/>
        <w:spacing w:after="0" w:line="254" w:lineRule="auto"/>
        <w:tabs>
          <w:tab w:leader="none" w:pos="15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D&amp;O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from time to time, make the good faith determination whether or not it is practicable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obtain and maintain a policy or policies of insurance with reputable insurance companies providing the directors and officers of the Company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or of the Company’s key employees, if Indemnitee is not an officer or director but is a key employee.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parent or subsidiary of the Company.</w:t>
      </w:r>
    </w:p>
    <w:p>
      <w:pPr>
        <w:spacing w:after="0" w:line="182" w:lineRule="exact"/>
        <w:rPr>
          <w:rFonts w:ascii="Times New Roman" w:cs="Times New Roman" w:eastAsia="Times New Roman" w:hAnsi="Times New Roman"/>
          <w:sz w:val="18"/>
          <w:szCs w:val="18"/>
          <w:color w:val="auto"/>
        </w:rPr>
      </w:pPr>
    </w:p>
    <w:p>
      <w:pPr>
        <w:ind w:left="-20" w:right="180" w:firstLine="1304"/>
        <w:spacing w:after="0" w:line="262" w:lineRule="auto"/>
        <w:tabs>
          <w:tab w:leader="none" w:pos="153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Tail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Change of Control or the Company’s becoming insolvent (including being placed into receivership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entering the federal bankruptcy process and the like), the Company shall maintain in force any and all insurance policies then maintained by the Company in providing insurance (directors’ and officers’ liability, fiduciary, employment practices or otherwise) in respect of Indemnitee, for a period of seven years thereafter.</w:t>
      </w:r>
    </w:p>
    <w:p>
      <w:pPr>
        <w:spacing w:after="0" w:line="176" w:lineRule="exact"/>
        <w:rPr>
          <w:rFonts w:ascii="Times New Roman" w:cs="Times New Roman" w:eastAsia="Times New Roman" w:hAnsi="Times New Roman"/>
          <w:sz w:val="18"/>
          <w:szCs w:val="18"/>
          <w:color w:val="auto"/>
        </w:rPr>
      </w:pPr>
    </w:p>
    <w:p>
      <w:pPr>
        <w:ind w:left="-20" w:right="140" w:firstLine="656"/>
        <w:spacing w:after="0" w:line="259" w:lineRule="auto"/>
        <w:tabs>
          <w:tab w:leader="none" w:pos="8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is intended to require or shall be construed as requiring the Company to do or fail to do any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applicable law. The Company’s inability, pursuant to court order, to perform its obligations under this Agreement shall not constitute a breach of this Agreement.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spacing w:after="0" w:line="179" w:lineRule="exact"/>
        <w:rPr>
          <w:rFonts w:ascii="Times New Roman" w:cs="Times New Roman" w:eastAsia="Times New Roman" w:hAnsi="Times New Roman"/>
          <w:sz w:val="18"/>
          <w:szCs w:val="18"/>
          <w:color w:val="auto"/>
        </w:rPr>
      </w:pPr>
    </w:p>
    <w:p>
      <w:pPr>
        <w:ind w:left="-20" w:firstLine="656"/>
        <w:spacing w:after="0" w:line="286" w:lineRule="auto"/>
        <w:tabs>
          <w:tab w:leader="none" w:pos="8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Exclusions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provision of this Agreement to the contrary notwithstanding, the Company shall not be obligated pursuant to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w:t>
      </w:r>
    </w:p>
    <w:p>
      <w:pPr>
        <w:spacing w:after="0" w:line="154" w:lineRule="exact"/>
        <w:rPr>
          <w:rFonts w:ascii="Times New Roman" w:cs="Times New Roman" w:eastAsia="Times New Roman" w:hAnsi="Times New Roman"/>
          <w:sz w:val="18"/>
          <w:szCs w:val="18"/>
          <w:color w:val="auto"/>
        </w:rPr>
      </w:pPr>
    </w:p>
    <w:p>
      <w:pPr>
        <w:ind w:left="-20" w:firstLine="1304"/>
        <w:spacing w:after="0" w:line="256" w:lineRule="auto"/>
        <w:tabs>
          <w:tab w:leader="none" w:pos="15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Claims Initiated by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or advance Expenses to Indemnitee with respect to Proceedings initiated or brought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voluntarily by Indemnitee and not by way of defense, except with respect to Proceedings brought to establish, enforce or interpret a right to indemnification under this Agreement or any other statute or law or otherwise as required under Section 145 of the Delaware General Corporation Law, but such indemnification or advancement of Expenses may be provided by the Company in specific cases if the Board of Directors finds it to be appropriate; provided, however, that the exclusion set forth in the first clause of this subsection shall not be deemed to apply to any investigation initiated or brought by Indemnitee to the extent reasonably necessary or advisable in support of Indemnitee’s defense of a Proceeding to which Indemnitee was, is or is threatened to be made, a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0" w:right="359" w:bottom="1440" w:gutter="0" w:footer="0" w:header="0"/>
        </w:sectPr>
      </w:pPr>
    </w:p>
    <w:bookmarkStart w:id="146" w:name="page147"/>
    <w:bookmarkEnd w:id="146"/>
    <w:p>
      <w:pPr>
        <w:ind w:left="-40" w:right="20" w:firstLine="1304"/>
        <w:spacing w:after="0" w:line="262" w:lineRule="auto"/>
        <w:tabs>
          <w:tab w:leader="none" w:pos="151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Lack of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for any Expenses incurred by Indemnitee with respect to any Proceeding instituted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to establish, enforce or interpret a right to indemnification under this Agreement or any other statute or law or otherwise as required under Section 145 of the Delaware General Corporation Law, if a court of competent jurisdiction determines that each of the material assertions made by Indemnitee in such proceeding was not made in good faith or was frivolous;</w:t>
      </w:r>
    </w:p>
    <w:p>
      <w:pPr>
        <w:spacing w:after="0" w:line="176" w:lineRule="exact"/>
        <w:rPr>
          <w:rFonts w:ascii="Times New Roman" w:cs="Times New Roman" w:eastAsia="Times New Roman" w:hAnsi="Times New Roman"/>
          <w:sz w:val="18"/>
          <w:szCs w:val="18"/>
          <w:color w:val="auto"/>
        </w:rPr>
      </w:pPr>
    </w:p>
    <w:p>
      <w:pPr>
        <w:ind w:left="-40" w:right="340" w:firstLine="1304"/>
        <w:spacing w:after="0" w:line="286" w:lineRule="auto"/>
        <w:tabs>
          <w:tab w:leader="none" w:pos="15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Insured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for Expenses to the extent such Expenses have been paid directly to Indemnitee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carrier under an insurance policy maintained by the Company; or</w:t>
      </w:r>
    </w:p>
    <w:p>
      <w:pPr>
        <w:spacing w:after="0" w:line="154" w:lineRule="exact"/>
        <w:rPr>
          <w:rFonts w:ascii="Times New Roman" w:cs="Times New Roman" w:eastAsia="Times New Roman" w:hAnsi="Times New Roman"/>
          <w:sz w:val="18"/>
          <w:szCs w:val="18"/>
          <w:color w:val="auto"/>
        </w:rPr>
      </w:pPr>
    </w:p>
    <w:p>
      <w:pPr>
        <w:ind w:left="-40" w:firstLine="1304"/>
        <w:spacing w:after="0" w:line="254" w:lineRule="auto"/>
        <w:tabs>
          <w:tab w:leader="none" w:pos="151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Exchange Act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in connection with any claim made against Indemnitee for (i)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of profits made from the purchase and sale (or sale and purchase) by Indemnitee of securities of the Company within the meaning of Section 16(b) of the Exchange Act or any similar successor statute or any similar provisions of state statutory law or common law, or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or Section 954 of the Dodd-Frank Wall Street Reform and Consumer Protection Act, or the payment to the Company of profits arising from the purchase and sale by Indemnitee of securities in violation of Section 306 of the Sarbanes-Oxley Act); provided, however, that to the fullest extent permitted by applicable law and to the extent Indemnitee is successful on the merits or otherwise with respect to any such Proceeding, the Expenses actually and reasonably incurred by Indemnitee in connection with any such Proceeding shall be deemed to be Expenses that are subject to indemnification hereunder.</w:t>
      </w:r>
    </w:p>
    <w:p>
      <w:pPr>
        <w:spacing w:after="0" w:line="185" w:lineRule="exact"/>
        <w:rPr>
          <w:rFonts w:ascii="Times New Roman" w:cs="Times New Roman" w:eastAsia="Times New Roman" w:hAnsi="Times New Roman"/>
          <w:sz w:val="18"/>
          <w:szCs w:val="18"/>
          <w:color w:val="auto"/>
        </w:rPr>
      </w:pPr>
    </w:p>
    <w:p>
      <w:pPr>
        <w:ind w:left="800" w:hanging="184"/>
        <w:spacing w:after="0"/>
        <w:tabs>
          <w:tab w:leader="none" w:pos="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Contribution Claims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0" w:firstLine="1304"/>
        <w:spacing w:after="0" w:line="256" w:lineRule="auto"/>
        <w:tabs>
          <w:tab w:leader="none" w:pos="150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in Section 1 hereof is unavailable in whole or in part and may not be paid to Indemnitee for any reason other than those set forth in Section 7 hereof, then in respect to any Proceeding in which the Company is jointly liable with Indemnitee (or would be if joined in such Proceeding), to the fullest extent permitted by applicable law, the Company, in lieu of indemnifying Indemnitee, shall pay, in the first instance, the entire amount incurred by Indemnitee, whether for Expenses, judgments, fines or amounts paid in settlement, in connection with any Proceeding without requiring Indemnitee to contribute to such payment, and the Company hereby waives and relinquishes any right of contribution it may have at any time against Indemnitee.</w:t>
      </w:r>
    </w:p>
    <w:p>
      <w:pPr>
        <w:spacing w:after="0" w:line="187" w:lineRule="exact"/>
        <w:rPr>
          <w:rFonts w:ascii="Times New Roman" w:cs="Times New Roman" w:eastAsia="Times New Roman" w:hAnsi="Times New Roman"/>
          <w:sz w:val="18"/>
          <w:szCs w:val="18"/>
          <w:color w:val="auto"/>
        </w:rPr>
      </w:pPr>
    </w:p>
    <w:p>
      <w:pPr>
        <w:ind w:left="-40" w:right="60" w:firstLine="1304"/>
        <w:spacing w:after="0" w:line="261" w:lineRule="auto"/>
        <w:tabs>
          <w:tab w:leader="none" w:pos="151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Proceeding brought against directors, officers, employees or agents of the Company (other than Indemnitee), to the fullest extent permitted by applicable law, the Company shall indemnify Indemnitee from any claims for contribution that may be brought by any such directors, officers, employees or agents of the Company (other than Indemnitee) who may be jointly liable with Indemnitee, to the same extent Indemnitee would have been entitled to such indemnification under this Agreement if such Proceeding had been brought against Indemnitee.</w:t>
      </w:r>
    </w:p>
    <w:p>
      <w:pPr>
        <w:spacing w:after="0" w:line="175" w:lineRule="exact"/>
        <w:rPr>
          <w:rFonts w:ascii="Times New Roman" w:cs="Times New Roman" w:eastAsia="Times New Roman" w:hAnsi="Times New Roman"/>
          <w:sz w:val="18"/>
          <w:szCs w:val="18"/>
          <w:color w:val="auto"/>
        </w:rPr>
      </w:pPr>
    </w:p>
    <w:p>
      <w:pPr>
        <w:ind w:left="-40" w:right="240" w:firstLine="656"/>
        <w:spacing w:after="0" w:line="286" w:lineRule="auto"/>
        <w:tabs>
          <w:tab w:leader="none" w:pos="78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Imputation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knowledge and/or actions, or failure to act, of any director, officer, agent or employee of the Company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itself shall not be imputed to Indemnitee for purposes of determining any rights under this Agreement.</w:t>
      </w:r>
    </w:p>
    <w:p>
      <w:pPr>
        <w:spacing w:after="0" w:line="154" w:lineRule="exact"/>
        <w:rPr>
          <w:rFonts w:ascii="Times New Roman" w:cs="Times New Roman" w:eastAsia="Times New Roman" w:hAnsi="Times New Roman"/>
          <w:sz w:val="18"/>
          <w:szCs w:val="18"/>
          <w:color w:val="auto"/>
        </w:rPr>
      </w:pPr>
    </w:p>
    <w:p>
      <w:pPr>
        <w:ind w:left="-40" w:firstLine="656"/>
        <w:spacing w:after="0" w:line="254" w:lineRule="auto"/>
        <w:tabs>
          <w:tab w:leader="none" w:pos="8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Determination of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any determination of good faith, Indemnitee shall be deemed to have acted in good faith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Indemnitee’s action is based on the records or books of account of the Enterprise, including financial statements, or on information supplied to Indemnitee by the officers of the Enterprise in the course of their duties, or on the advice of legal counsel for the Enterprise or the Board of Directors of the Enterprise or any counsel selected by any committee of the Board of Directors of the Enterprise or on information or records given or reports made to the Enterprise by an independent certified public accountant or by an appraiser, investment banker, compensation consultant, or other expert selected with reasonable care by the Enterprise or the Board of Directors of the Enterprise or any committee thereof. The provisions of this Section 10 shall not be deemed to be exclusive or to limit in any way the other circumstances in which the Indemnitee may be deemed to have met the applicable standard of conduct. Whether or not the foregoing provisions of this Section are satisfied, it shall in any event be presumed that Indemnitee has at all times acted in good faith and in a manner Indemnitee reasonably believed to be in or not opposed to the best interests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0" w:right="379" w:bottom="1440" w:gutter="0" w:footer="0" w:header="0"/>
        </w:sectPr>
      </w:pPr>
    </w:p>
    <w:bookmarkStart w:id="147" w:name="page148"/>
    <w:bookmarkEnd w:id="147"/>
    <w:p>
      <w:pPr>
        <w:ind w:left="900" w:hanging="264"/>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Defined Terms and Phrases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Agreement, the following terms shall have the following meanings:</w:t>
      </w:r>
    </w:p>
    <w:p>
      <w:pPr>
        <w:spacing w:after="0" w:line="229" w:lineRule="exact"/>
        <w:rPr>
          <w:rFonts w:ascii="Times New Roman" w:cs="Times New Roman" w:eastAsia="Times New Roman" w:hAnsi="Times New Roman"/>
          <w:sz w:val="18"/>
          <w:szCs w:val="18"/>
          <w:color w:val="auto"/>
        </w:rPr>
      </w:pPr>
    </w:p>
    <w:p>
      <w:pPr>
        <w:ind w:left="-20" w:right="280" w:firstLine="1304"/>
        <w:spacing w:after="0" w:line="282" w:lineRule="auto"/>
        <w:tabs>
          <w:tab w:leader="none" w:pos="152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be deemed to occur upon the earliest of any of the following events:</w:t>
      </w:r>
    </w:p>
    <w:p>
      <w:pPr>
        <w:spacing w:after="0" w:line="225" w:lineRule="exact"/>
        <w:rPr>
          <w:rFonts w:ascii="Times New Roman" w:cs="Times New Roman" w:eastAsia="Times New Roman" w:hAnsi="Times New Roman"/>
          <w:sz w:val="18"/>
          <w:szCs w:val="18"/>
          <w:color w:val="auto"/>
        </w:rPr>
      </w:pPr>
    </w:p>
    <w:p>
      <w:pPr>
        <w:ind w:left="-20" w:right="160" w:firstLine="1952"/>
        <w:spacing w:after="0" w:line="258" w:lineRule="auto"/>
        <w:tabs>
          <w:tab w:leader="none" w:pos="2139"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Any Person is or becomes the Beneficial Owner, directly or indirectly, of securities of the Company representing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of Control under part (iii) of this definition.</w:t>
      </w:r>
    </w:p>
    <w:p>
      <w:pPr>
        <w:spacing w:after="0" w:line="183" w:lineRule="exact"/>
        <w:rPr>
          <w:rFonts w:ascii="Times New Roman" w:cs="Times New Roman" w:eastAsia="Times New Roman" w:hAnsi="Times New Roman"/>
          <w:sz w:val="18"/>
          <w:szCs w:val="18"/>
          <w:color w:val="auto"/>
        </w:rPr>
      </w:pPr>
    </w:p>
    <w:p>
      <w:pPr>
        <w:ind w:left="-20" w:right="180" w:firstLine="1952"/>
        <w:spacing w:after="0" w:line="261" w:lineRule="auto"/>
        <w:tabs>
          <w:tab w:leader="none" w:pos="2189"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of this Agreement, constitute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any new director whose election by the Board or nomination for election by the Company’s stockholders was approved by a vote of at least two thirds of the directors then still in office who were directors on the date of this Agreement (collectively, the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ind w:left="-20" w:firstLine="1952"/>
        <w:spacing w:after="0" w:line="253" w:lineRule="auto"/>
        <w:tabs>
          <w:tab w:leader="none" w:pos="2239"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The effective date of a reorganization, merger, or consolidation of the Company (a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and with the power to elect at least a majority of the Board or other governing body of the surviving entity; (2) no Person (excluding any corporation resulting from such Business Combination) is the Beneficial Owner, directly or indirectly, of 15% or more of the combined voting power of the then outstanding securities entitled to vote generally in the election of directors of such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9" w:lineRule="exact"/>
        <w:rPr>
          <w:rFonts w:ascii="Times New Roman" w:cs="Times New Roman" w:eastAsia="Times New Roman" w:hAnsi="Times New Roman"/>
          <w:sz w:val="18"/>
          <w:szCs w:val="18"/>
          <w:color w:val="auto"/>
        </w:rPr>
      </w:pPr>
    </w:p>
    <w:p>
      <w:pPr>
        <w:ind w:left="-20" w:right="140" w:firstLine="1952"/>
        <w:spacing w:after="0" w:line="261" w:lineRule="auto"/>
        <w:tabs>
          <w:tab w:leader="none" w:pos="2229"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Company’s stockholders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w:t>
      </w:r>
    </w:p>
    <w:p>
      <w:pPr>
        <w:spacing w:after="0" w:line="179" w:lineRule="exact"/>
        <w:rPr>
          <w:rFonts w:ascii="Times New Roman" w:cs="Times New Roman" w:eastAsia="Times New Roman" w:hAnsi="Times New Roman"/>
          <w:sz w:val="18"/>
          <w:szCs w:val="18"/>
          <w:color w:val="auto"/>
        </w:rPr>
      </w:pPr>
    </w:p>
    <w:p>
      <w:pPr>
        <w:ind w:left="-20" w:right="160" w:firstLine="1952"/>
        <w:spacing w:after="0" w:line="266" w:lineRule="auto"/>
        <w:tabs>
          <w:tab w:leader="none" w:pos="2179"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or any similar schedule or form) promulgated under the Exchange Act whether or not the Company is then subject to such reporting requirement.</w:t>
      </w:r>
    </w:p>
    <w:p>
      <w:pPr>
        <w:spacing w:after="0" w:line="175" w:lineRule="exact"/>
        <w:rPr>
          <w:rFonts w:ascii="Times New Roman" w:cs="Times New Roman" w:eastAsia="Times New Roman" w:hAnsi="Times New Roman"/>
          <w:sz w:val="18"/>
          <w:szCs w:val="18"/>
          <w:color w:val="auto"/>
        </w:rPr>
      </w:pPr>
    </w:p>
    <w:p>
      <w:pPr>
        <w:ind w:left="-20" w:right="100" w:firstLine="1304"/>
        <w:spacing w:after="0" w:line="256" w:lineRule="auto"/>
        <w:tabs>
          <w:tab w:leader="none" w:pos="152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if Indemnitee is or was a director, officer, employee or agent of such constituent corporation, or is or was serving at the request of such constituent corporation as a director, officer, trustee, general partner, managing member, fiduciary, employee or agent of any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87" w:lineRule="exact"/>
        <w:rPr>
          <w:rFonts w:ascii="Times New Roman" w:cs="Times New Roman" w:eastAsia="Times New Roman" w:hAnsi="Times New Roman"/>
          <w:sz w:val="18"/>
          <w:szCs w:val="18"/>
          <w:color w:val="auto"/>
        </w:rPr>
      </w:pPr>
    </w:p>
    <w:p>
      <w:pPr>
        <w:ind w:left="-20" w:right="520" w:firstLine="1304"/>
        <w:spacing w:after="0" w:line="282" w:lineRule="auto"/>
        <w:tabs>
          <w:tab w:leader="none" w:pos="153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w:t>
      </w:r>
      <w:r>
        <w:rPr>
          <w:rFonts w:ascii="Times New Roman" w:cs="Times New Roman" w:eastAsia="Times New Roman" w:hAnsi="Times New Roman"/>
          <w:sz w:val="18"/>
          <w:szCs w:val="18"/>
          <w:color w:val="auto"/>
        </w:rPr>
        <w:t>” means the Company and any other enterprise that Indemnitee was or is serving at the request of the Company as a director, officer, partner (general, limited or otherwise), member (managing or otherwise), trustee, fiduciary, employee or agent.</w:t>
      </w:r>
    </w:p>
    <w:p>
      <w:pPr>
        <w:spacing w:after="0" w:line="161"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0" w:right="359" w:bottom="1440" w:gutter="0" w:footer="0" w:header="0"/>
        </w:sectPr>
      </w:pPr>
    </w:p>
    <w:bookmarkStart w:id="148" w:name="page149"/>
    <w:bookmarkEnd w:id="148"/>
    <w:p>
      <w:pPr>
        <w:ind w:left="-20" w:right="40" w:firstLine="1304"/>
        <w:spacing w:after="0" w:line="253" w:lineRule="auto"/>
        <w:tabs>
          <w:tab w:leader="none" w:pos="150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all attorneys’ fees and costs, retainers, court costs, transcript costs, fees of experts, witness fees, travel expenses, fees of private investigators and professional advisors, duplicating costs, printing and binding costs, telephone charges, postage, delivery service fees, any federal, state, local or foreign taxes imposed on Indemnitee as a result of the actual or deemed receipt of any payment under this Agreement (including taxes that may be imposed upon the actual or deemed receipt of payments under this Agreement with respect to the imposition of federal, state, local or foreign taxes),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Expenses also shall include any of the forgoing expenses incurred in connection with any appeal resulting from any Proceeding, including the principal, premium, security for, and other costs relating to any costs bond, supersedes bond, or other appeal bond or its equivalent. Expenses also shall include any interest, assessment or other charges imposed thereon and costs incurred in preparing statements in support of payment requests hereunder. Expenses, however, shall not include amounts paid in settlement by Indemnitee or the amount of judgments or fines against Indemnitee.</w:t>
      </w:r>
    </w:p>
    <w:p>
      <w:pPr>
        <w:spacing w:after="0" w:line="191" w:lineRule="exact"/>
        <w:rPr>
          <w:rFonts w:ascii="Times New Roman" w:cs="Times New Roman" w:eastAsia="Times New Roman" w:hAnsi="Times New Roman"/>
          <w:sz w:val="18"/>
          <w:szCs w:val="18"/>
          <w:color w:val="auto"/>
        </w:rPr>
      </w:pPr>
    </w:p>
    <w:p>
      <w:pPr>
        <w:ind w:left="-20" w:right="80" w:firstLine="1304"/>
        <w:spacing w:after="0" w:line="258" w:lineRule="auto"/>
        <w:tabs>
          <w:tab w:leader="none" w:pos="153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have the meaning as set forth in Section 13(d) and 14(d) of the Exchange Act as in effect on the date hereof; provided, however, that “Person” shall exclude: (i) the Company; (ii) any direct or indirect majority owned subsidiaries of the Company; (iii) any employee benefit plan of the Company or any direct or indirect majority owned subsidiaries of the Company or of any corporation owned, directly or indirectly, by the Company’s stockholders in substantially the same proportions as their ownership of stock of the Company (an “</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and (iv) any trustee or other fiduciary holding securities under an Employee Benefit Plan.</w:t>
      </w:r>
    </w:p>
    <w:p>
      <w:pPr>
        <w:spacing w:after="0" w:line="183" w:lineRule="exact"/>
        <w:rPr>
          <w:rFonts w:ascii="Times New Roman" w:cs="Times New Roman" w:eastAsia="Times New Roman" w:hAnsi="Times New Roman"/>
          <w:sz w:val="18"/>
          <w:szCs w:val="18"/>
          <w:color w:val="auto"/>
        </w:rPr>
      </w:pPr>
    </w:p>
    <w:p>
      <w:pPr>
        <w:ind w:left="-20" w:right="60" w:firstLine="1304"/>
        <w:spacing w:after="0" w:line="253" w:lineRule="auto"/>
        <w:tabs>
          <w:tab w:leader="none" w:pos="153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include any actual, threatened, pending or completed action, suit, arbitration, mediation, alternate dispute resolution mechanism, investigation, inquiry, administrative hearing or any other actual, threatened or completed proceeding, whether brought by a third party, a government agency, the Company or its Board of Directors or a committee thereof, whether in the right of the Company or otherwise and whether of a civil (including intentional or unintentional tort claims), criminal, administrative, legislative or investigative (formal or informal) nature, including any appeal therefrom, in which Indemnitee was, is, will or might be involved as a party, potential party, non-party witness or otherwise by reason of the fact that Indemnitee is or was a director, officer, employee or agent of the Company, by reason of any action (or failure to act) taken by Indemnitee or of any action (or failure to act) on Indemnitee’s part while acting as a director, officer, employee or agent of the Company, or by reason of the fact that Indemnitee is or was serving at the request of the Company as a director, officer, partner (general, limited or otherwise), member (managing or otherwise), trustee,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94" w:lineRule="exact"/>
        <w:rPr>
          <w:rFonts w:ascii="Times New Roman" w:cs="Times New Roman" w:eastAsia="Times New Roman" w:hAnsi="Times New Roman"/>
          <w:sz w:val="18"/>
          <w:szCs w:val="18"/>
          <w:color w:val="auto"/>
        </w:rPr>
      </w:pPr>
    </w:p>
    <w:p>
      <w:pPr>
        <w:ind w:left="-20" w:right="20" w:firstLine="1304"/>
        <w:spacing w:after="0" w:line="254" w:lineRule="auto"/>
        <w:tabs>
          <w:tab w:leader="none" w:pos="149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references to “</w:t>
      </w:r>
      <w:r>
        <w:rPr>
          <w:rFonts w:ascii="Times New Roman" w:cs="Times New Roman" w:eastAsia="Times New Roman" w:hAnsi="Times New Roman"/>
          <w:sz w:val="18"/>
          <w:szCs w:val="18"/>
          <w:u w:val="single" w:color="auto"/>
          <w:color w:val="auto"/>
        </w:rPr>
        <w:t>other enterprise</w:t>
      </w:r>
      <w:r>
        <w:rPr>
          <w:rFonts w:ascii="Times New Roman" w:cs="Times New Roman" w:eastAsia="Times New Roman" w:hAnsi="Times New Roman"/>
          <w:sz w:val="18"/>
          <w:szCs w:val="18"/>
          <w:color w:val="auto"/>
        </w:rPr>
        <w:t>” shall include another corporation, partnership, limited liability company, joint venture, trust, employee benefit plan or any other enterprise; references to “</w:t>
      </w:r>
      <w:r>
        <w:rPr>
          <w:rFonts w:ascii="Times New Roman" w:cs="Times New Roman" w:eastAsia="Times New Roman" w:hAnsi="Times New Roman"/>
          <w:sz w:val="18"/>
          <w:szCs w:val="18"/>
          <w:u w:val="single" w:color="auto"/>
          <w:color w:val="auto"/>
        </w:rPr>
        <w:t>fines</w:t>
      </w:r>
      <w:r>
        <w:rPr>
          <w:rFonts w:ascii="Times New Roman" w:cs="Times New Roman" w:eastAsia="Times New Roman" w:hAnsi="Times New Roman"/>
          <w:sz w:val="18"/>
          <w:szCs w:val="18"/>
          <w:color w:val="auto"/>
        </w:rPr>
        <w:t>” shall include any excise taxes assessed on Indemnitee with respect to an employee benefit plan; references to “</w:t>
      </w:r>
      <w:r>
        <w:rPr>
          <w:rFonts w:ascii="Times New Roman" w:cs="Times New Roman" w:eastAsia="Times New Roman" w:hAnsi="Times New Roman"/>
          <w:sz w:val="18"/>
          <w:szCs w:val="18"/>
          <w:u w:val="single" w:color="auto"/>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Indemnitee with respect to an employee benefit plan, its participants, or beneficiaries; and if Indemnitee acted in good faith and in a manner Indemnitee reasonably believed to be in the interest of the participants and beneficiaries of an employee benefit plan, Indemnitee shall be deemed to have acted in a manner “</w:t>
      </w:r>
      <w:r>
        <w:rPr>
          <w:rFonts w:ascii="Times New Roman" w:cs="Times New Roman" w:eastAsia="Times New Roman" w:hAnsi="Times New Roman"/>
          <w:sz w:val="18"/>
          <w:szCs w:val="18"/>
          <w:u w:val="single" w:color="auto"/>
          <w:color w:val="auto"/>
        </w:rPr>
        <w:t>not opposed to the best interests of the Company</w:t>
      </w:r>
      <w:r>
        <w:rPr>
          <w:rFonts w:ascii="Times New Roman" w:cs="Times New Roman" w:eastAsia="Times New Roman" w:hAnsi="Times New Roman"/>
          <w:sz w:val="18"/>
          <w:szCs w:val="18"/>
          <w:color w:val="auto"/>
        </w:rPr>
        <w:t>” as referred to in this Agreement; references to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mean include or including, without limitation; and references to Sections, paragraphs or clauses are to Sections, paragraphs or clauses in this Agreement unless otherwise specified.</w:t>
      </w:r>
    </w:p>
    <w:p>
      <w:pPr>
        <w:spacing w:after="0" w:line="187" w:lineRule="exact"/>
        <w:rPr>
          <w:rFonts w:ascii="Times New Roman" w:cs="Times New Roman" w:eastAsia="Times New Roman" w:hAnsi="Times New Roman"/>
          <w:sz w:val="18"/>
          <w:szCs w:val="18"/>
          <w:color w:val="auto"/>
        </w:rPr>
      </w:pPr>
    </w:p>
    <w:p>
      <w:pPr>
        <w:ind w:left="-20" w:firstLine="656"/>
        <w:spacing w:after="0" w:line="256" w:lineRule="auto"/>
        <w:tabs>
          <w:tab w:leader="none" w:pos="89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any Proceeding is instituted by Indemnitee under this Agreement to enforce or interpret any of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Company shall indemnify Indemnitee against all Expenses actually and reasonably incurred by Indemnitee in connection with such Proceeding, unless a court of competent jurisdiction determines that each of the material assertions made by Indemnitee as a basis for such Proceeding were not made in good faith or were frivolous. In the event of a Proceeding instituted by or in the name of the Company under this Agreement or to enforce or interpret any of the terms of this Agreement, the Company shall indemnify Indemnitee against all Expenses actually and reasonably incurred by Indemnitee in connection with such Proceeding (including with respect to Indemnitee’s counterclaims and cross-claims made in such action), unless a court of competent jurisdiction determines that each of Indemnitee’s material defenses to such action were made in bad faith or were frivolous.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49" w:name="page150"/>
    <w:bookmarkEnd w:id="149"/>
    <w:p>
      <w:pPr>
        <w:ind w:left="900" w:hanging="264"/>
        <w:spacing w:after="0"/>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left="-20" w:right="40" w:firstLine="1304"/>
        <w:spacing w:after="0" w:line="268" w:lineRule="auto"/>
        <w:tabs>
          <w:tab w:leader="none" w:pos="15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interpretation, construction and performance of this Agreement, and all acts and transactions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 rights and obligations of the parties hereto shall be governed, construed and interpreted in accordance with the laws of the state of Delaware, without giving effect to principles of conflicts of law.</w:t>
      </w:r>
    </w:p>
    <w:p>
      <w:pPr>
        <w:spacing w:after="0" w:line="170" w:lineRule="exact"/>
        <w:rPr>
          <w:rFonts w:ascii="Times New Roman" w:cs="Times New Roman" w:eastAsia="Times New Roman" w:hAnsi="Times New Roman"/>
          <w:sz w:val="18"/>
          <w:szCs w:val="18"/>
          <w:color w:val="auto"/>
        </w:rPr>
      </w:pPr>
    </w:p>
    <w:p>
      <w:pPr>
        <w:ind w:left="-20" w:right="140" w:firstLine="1304"/>
        <w:spacing w:after="0" w:line="259" w:lineRule="auto"/>
        <w:tabs>
          <w:tab w:leader="none" w:pos="153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limiting any of the rights of Indemnitee described in Section 3(b) hereof,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sets forth the entire agreement and understanding of the parties relating to the subject matter herein and merges all prior discussions and supersedes any and all previous agreements between them covering the subject matter herein. The indemnification provided under this Agreement applies with respect to events occurring before or after the effective date of this Agreement, and shall continue to apply even after Indemnitee has ceased to serve the Company in any and all indemnified capacities.</w:t>
      </w:r>
    </w:p>
    <w:p>
      <w:pPr>
        <w:spacing w:after="0" w:line="179" w:lineRule="exact"/>
        <w:rPr>
          <w:rFonts w:ascii="Times New Roman" w:cs="Times New Roman" w:eastAsia="Times New Roman" w:hAnsi="Times New Roman"/>
          <w:sz w:val="18"/>
          <w:szCs w:val="18"/>
          <w:color w:val="auto"/>
        </w:rPr>
      </w:pPr>
    </w:p>
    <w:p>
      <w:pPr>
        <w:ind w:left="-20" w:firstLine="1304"/>
        <w:spacing w:after="0" w:line="268" w:lineRule="auto"/>
        <w:tabs>
          <w:tab w:leader="none" w:pos="15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modification of or amendment to this Agreement, nor any waiver of any rights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effective unless in writing signed by the parties to this Agreement. No delay or failure to require performance of any provision of this Agreement shall constitute a waiver of that provision as to that or any other instance.</w:t>
      </w:r>
    </w:p>
    <w:p>
      <w:pPr>
        <w:spacing w:after="0" w:line="170" w:lineRule="exact"/>
        <w:rPr>
          <w:rFonts w:ascii="Times New Roman" w:cs="Times New Roman" w:eastAsia="Times New Roman" w:hAnsi="Times New Roman"/>
          <w:sz w:val="18"/>
          <w:szCs w:val="18"/>
          <w:color w:val="auto"/>
        </w:rPr>
      </w:pPr>
    </w:p>
    <w:p>
      <w:pPr>
        <w:ind w:left="-20" w:right="100" w:firstLine="1304"/>
        <w:spacing w:after="0" w:line="257" w:lineRule="auto"/>
        <w:tabs>
          <w:tab w:leader="none" w:pos="153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binding upon the Company and its successors (including any direct or indirect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by purchase, merger, consolidation or otherwise to all or substantially all of the business and/or assets of the Company) and assigns, and inure to the benefit of Indemnitee and Indemnitee’s heirs, executors, administrators, legal representatives and assigns. The Company shall require and cause any successor (whether direct or indirect by purchase, merger, consolidation or otherwise) to all or substantially all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2" w:lineRule="exact"/>
        <w:rPr>
          <w:rFonts w:ascii="Times New Roman" w:cs="Times New Roman" w:eastAsia="Times New Roman" w:hAnsi="Times New Roman"/>
          <w:sz w:val="18"/>
          <w:szCs w:val="18"/>
          <w:color w:val="auto"/>
        </w:rPr>
      </w:pPr>
    </w:p>
    <w:p>
      <w:pPr>
        <w:ind w:left="-20" w:right="380" w:firstLine="1304"/>
        <w:spacing w:after="0" w:line="282" w:lineRule="auto"/>
        <w:tabs>
          <w:tab w:leader="none" w:pos="152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notice, demand or request required or permitted to be given under this Agreement shall be in writing and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61" w:lineRule="exact"/>
        <w:rPr>
          <w:rFonts w:ascii="Times New Roman" w:cs="Times New Roman" w:eastAsia="Times New Roman" w:hAnsi="Times New Roman"/>
          <w:sz w:val="17"/>
          <w:szCs w:val="17"/>
          <w:color w:val="auto"/>
        </w:rPr>
      </w:pPr>
    </w:p>
    <w:p>
      <w:pPr>
        <w:ind w:left="-20" w:right="120" w:firstLine="1304"/>
        <w:spacing w:after="0" w:line="262" w:lineRule="auto"/>
        <w:tabs>
          <w:tab w:leader="none" w:pos="150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one or more provisions of this Agreement are held to be unenforceable under applicable law, the parties agree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6" w:lineRule="exact"/>
        <w:rPr>
          <w:rFonts w:ascii="Times New Roman" w:cs="Times New Roman" w:eastAsia="Times New Roman" w:hAnsi="Times New Roman"/>
          <w:sz w:val="18"/>
          <w:szCs w:val="18"/>
          <w:color w:val="auto"/>
        </w:rPr>
      </w:pPr>
    </w:p>
    <w:p>
      <w:pPr>
        <w:ind w:left="-20" w:right="40" w:firstLine="1304"/>
        <w:spacing w:after="0" w:line="268" w:lineRule="auto"/>
        <w:tabs>
          <w:tab w:leader="none" w:pos="153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the result of negotiations between and has been reviewed by each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counsel, if any; accordingly, this Agreement shall be deemed to be the product of all of the parties hereto, and no ambiguity shall be construed in favor of or against any one of the parties hereto.</w:t>
      </w:r>
    </w:p>
    <w:p>
      <w:pPr>
        <w:spacing w:after="0" w:line="170" w:lineRule="exact"/>
        <w:rPr>
          <w:rFonts w:ascii="Times New Roman" w:cs="Times New Roman" w:eastAsia="Times New Roman" w:hAnsi="Times New Roman"/>
          <w:sz w:val="18"/>
          <w:szCs w:val="18"/>
          <w:color w:val="auto"/>
        </w:rPr>
      </w:pPr>
    </w:p>
    <w:p>
      <w:pPr>
        <w:ind w:left="-20" w:right="100" w:firstLine="1304"/>
        <w:spacing w:after="0" w:line="268" w:lineRule="auto"/>
        <w:tabs>
          <w:tab w:leader="none" w:pos="153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any number of counterparts, each of which when so executed and delivered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an original, and all of which together shall constitute one and the same agreement. Execution of a facsimile copy will have the same force and effect as execution of an original, and a facsimile signature will be deemed an original and valid signature.</w:t>
      </w:r>
    </w:p>
    <w:p>
      <w:pPr>
        <w:spacing w:after="0" w:line="170" w:lineRule="exact"/>
        <w:rPr>
          <w:rFonts w:ascii="Times New Roman" w:cs="Times New Roman" w:eastAsia="Times New Roman" w:hAnsi="Times New Roman"/>
          <w:sz w:val="18"/>
          <w:szCs w:val="18"/>
          <w:color w:val="auto"/>
        </w:rPr>
      </w:pPr>
    </w:p>
    <w:p>
      <w:pPr>
        <w:ind w:left="1500" w:hanging="216"/>
        <w:spacing w:after="0"/>
        <w:tabs>
          <w:tab w:leader="none" w:pos="15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contained in this Agreement is intended to create in Indemnitee any right to continued employment.</w:t>
      </w:r>
    </w:p>
    <w:p>
      <w:pPr>
        <w:spacing w:after="0" w:line="225" w:lineRule="exact"/>
        <w:rPr>
          <w:rFonts w:ascii="Times New Roman" w:cs="Times New Roman" w:eastAsia="Times New Roman" w:hAnsi="Times New Roman"/>
          <w:sz w:val="18"/>
          <w:szCs w:val="18"/>
          <w:color w:val="auto"/>
        </w:rPr>
      </w:pPr>
    </w:p>
    <w:p>
      <w:pPr>
        <w:ind w:left="-20" w:right="100" w:firstLine="1304"/>
        <w:spacing w:after="0" w:line="262" w:lineRule="auto"/>
        <w:tabs>
          <w:tab w:leader="none" w:pos="149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precluded from asserting, in any Proceeding brought for purposes of establishing,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enforcing or interpreting any right to indemnification under this Agreement, that the procedures and presumptions of this Agreement are not valid, binding and enforceable and shall stipulate in any such court that the Company is bound by all the provisions of this Agreement and is precluded from making any assertion to the contrary.</w:t>
      </w:r>
    </w:p>
    <w:p>
      <w:pPr>
        <w:spacing w:after="0" w:line="176" w:lineRule="exact"/>
        <w:rPr>
          <w:rFonts w:ascii="Times New Roman" w:cs="Times New Roman" w:eastAsia="Times New Roman" w:hAnsi="Times New Roman"/>
          <w:sz w:val="18"/>
          <w:szCs w:val="18"/>
          <w:color w:val="auto"/>
        </w:rPr>
      </w:pPr>
    </w:p>
    <w:p>
      <w:pPr>
        <w:ind w:left="-20" w:right="80" w:firstLine="1304"/>
        <w:spacing w:after="0" w:line="268" w:lineRule="auto"/>
        <w:tabs>
          <w:tab w:leader="none" w:pos="153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Subrogation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payment under this Agreement, the Company shall be subrogated to the extent of such payment to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of recovery of Indemnitee, who shall execute all documents required and shall do all acts that may be necessary to secure such rights and to enable the Company to effectively bring suit to enforce such rights.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18"/>
          <w:szCs w:val="18"/>
          <w:color w:val="auto"/>
        </w:rPr>
        <w:t>The parties have executed this Agreement as of the date first set forth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BIOMX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16"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8886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8886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28886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28886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7713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Schedule to Exhibit 10.3</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following directors and executive officers of BiomX Inc., or BiomX, are parties to Indemnification Agreements with BiomX which are substantially identical in all material respects to the representative Indemnification Agreement filed herewith and are dated as of the respective dates listed below. The other Indemnification Agreements are omitted pursuant to Instruction 2 to Item 601 of Regulation S-K.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Signatory</w:t>
            </w:r>
          </w:p>
        </w:tc>
        <w:tc>
          <w:tcPr>
            <w:tcW w:w="22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Liat Bidas</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16, 2026</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Reuven Yeganeh</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14, 2026</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Blum</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18, 2024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Gregory Merril</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Eddie Williams</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12, 2023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Dr. Alan C. Moses</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 2020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Marina Wolfson</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1, 2019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Jonathan Solomon</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28, 2019</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Russell Greig</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28, 2019</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Dr. Merav Bassan</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28, 2019</w:t>
            </w:r>
          </w:p>
        </w:tc>
      </w:tr>
      <w:tr>
        <w:trPr>
          <w:trHeight w:val="637"/>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210"/>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Adaptive Phage Therapeutics, LLC</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 USA</w:t>
            </w:r>
          </w:p>
        </w:tc>
      </w:tr>
    </w:tbl>
    <w:p>
      <w:pPr>
        <w:sectPr>
          <w:pgSz w:w="11900" w:h="16838" w:orient="portrait"/>
          <w:cols w:equalWidth="0" w:num="1">
            <w:col w:w="11240"/>
          </w:cols>
          <w:pgMar w:left="320" w:top="11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333-261419, 333-272371, 333-275935, 333-278986, and 333-293308) and on Form S-8 (Nos. 333-235777, 333-254922, 333-263995, 333-270947, 333-278500 and 333-282059) of BiomX Inc. of our report dated February 19, 2026 relating to the financial statements, which appears in this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Tel-Aviv, Israel</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Kesselman &amp; Kesselman</w:t>
            </w: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February 19, 2026</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Certified Public Accountants (Isr.)</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r>
    </w:tbl>
    <w:p>
      <w:pPr>
        <w:sectPr>
          <w:pgSz w:w="11900" w:h="16838" w:orient="portrait"/>
          <w:cols w:equalWidth="0" w:num="1">
            <w:col w:w="11240"/>
          </w:cols>
          <w:pgMar w:left="320" w:top="11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Solomon, certify that:</w:t>
      </w:r>
    </w:p>
    <w:p>
      <w:pPr>
        <w:spacing w:after="0" w:line="225"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BiomX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Jonathan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Jonathan Solomon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Marina Wolfson, certify that:</w:t>
      </w:r>
    </w:p>
    <w:p>
      <w:pPr>
        <w:spacing w:after="0" w:line="225"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BiomX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Marina Wolfson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Marina Wolfson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BiomX Inc. (the “Company”) on Form 10-K for the year ended December 31, 2025 as filed with the Securities and Exchange Commission (the “Report”), each of the undersigned, in the capacities and on the dates indicated below, hereby certifies pursuant to 18 U.S.C. Section 1350, that to his or her knowledge:</w:t>
      </w:r>
    </w:p>
    <w:p>
      <w:pPr>
        <w:spacing w:after="0" w:line="176"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Jonathan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Jonathan Solomon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Marina Wolfson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Marina Wolfson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lvl w:ilvl="1">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1)"/>
      <w:numFmt w:val="lowerLetter"/>
      <w:start w:val="1"/>
    </w:lvl>
    <w:lvl w:ilvl="1">
      <w:lvlJc w:val="left"/>
      <w:lvlText w:val="(%2)"/>
      <w:numFmt w:val="decimal"/>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1."/>
      <w:numFmt w:val="upperLetter"/>
      <w:start w:val="1"/>
    </w:lvl>
  </w:abstractNum>
  <w:abstractNum w:abstractNumId="54">
    <w:nsid w:val="100F59DC"/>
    <w:multiLevelType w:val="hybridMultilevel"/>
    <w:lvl w:ilvl="0">
      <w:lvlJc w:val="left"/>
      <w:lvlText w:val="%1."/>
      <w:numFmt w:val="upperLetter"/>
      <w:start w:val="2"/>
    </w:lvl>
  </w:abstractNum>
  <w:abstractNum w:abstractNumId="55">
    <w:nsid w:val="7FB7E0AA"/>
    <w:multiLevelType w:val="hybridMultilevel"/>
    <w:lvl w:ilvl="0">
      <w:lvlJc w:val="left"/>
      <w:lvlText w:val="%1."/>
      <w:numFmt w:val="upperLetter"/>
      <w:start w:val="3"/>
    </w:lvl>
    <w:lvl w:ilvl="1">
      <w:lvlJc w:val="left"/>
      <w:lvlText w:val="●"/>
      <w:numFmt w:val="bullet"/>
      <w:start w:val="1"/>
    </w:lvl>
  </w:abstractNum>
  <w:abstractNum w:abstractNumId="56">
    <w:nsid w:val="6EB5BD4"/>
    <w:multiLevelType w:val="hybridMultilevel"/>
    <w:lvl w:ilvl="0">
      <w:lvlJc w:val="left"/>
      <w:lvlText w:val="%1."/>
      <w:numFmt w:val="upperLetter"/>
      <w:start w:val="3"/>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1."/>
      <w:numFmt w:val="upperLetter"/>
      <w:start w:val="1"/>
    </w:lvl>
  </w:abstractNum>
  <w:abstractNum w:abstractNumId="60">
    <w:nsid w:val="76272110"/>
    <w:multiLevelType w:val="hybridMultilevel"/>
    <w:lvl w:ilvl="0">
      <w:lvlJc w:val="left"/>
      <w:lvlText w:val="%1."/>
      <w:numFmt w:val="upperLetter"/>
      <w:start w:val="5"/>
    </w:lvl>
  </w:abstractNum>
  <w:abstractNum w:abstractNumId="61">
    <w:nsid w:val="4C04A8AF"/>
    <w:multiLevelType w:val="hybridMultilevel"/>
    <w:lvl w:ilvl="0">
      <w:lvlJc w:val="left"/>
      <w:lvlText w:val="%1."/>
      <w:numFmt w:val="upperLetter"/>
      <w:start w:val="7"/>
    </w:lvl>
  </w:abstractNum>
  <w:abstractNum w:abstractNumId="62">
    <w:nsid w:val="1716703B"/>
    <w:multiLevelType w:val="hybridMultilevel"/>
    <w:lvl w:ilvl="0">
      <w:lvlJc w:val="left"/>
      <w:lvlText w:val="%1."/>
      <w:numFmt w:val="upperLetter"/>
      <w:start w:val="10"/>
    </w:lvl>
  </w:abstractNum>
  <w:abstractNum w:abstractNumId="63">
    <w:nsid w:val="14E17E33"/>
    <w:multiLevelType w:val="hybridMultilevel"/>
    <w:lvl w:ilvl="0">
      <w:lvlJc w:val="left"/>
      <w:lvlText w:val="%1."/>
      <w:numFmt w:val="upperLetter"/>
      <w:start w:val="10"/>
    </w:lvl>
  </w:abstractNum>
  <w:abstractNum w:abstractNumId="64">
    <w:nsid w:val="3222E7CD"/>
    <w:multiLevelType w:val="hybridMultilevel"/>
    <w:lvl w:ilvl="0">
      <w:lvlJc w:val="left"/>
      <w:lvlText w:val="%1."/>
      <w:numFmt w:val="decimal"/>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1."/>
      <w:numFmt w:val="upperLetter"/>
      <w:start w:val="10"/>
    </w:lvl>
    <w:lvl w:ilvl="1">
      <w:lvlJc w:val="left"/>
      <w:lvlText w:val="%2."/>
      <w:numFmt w:val="decimal"/>
      <w:start w:val="2"/>
    </w:lvl>
  </w:abstractNum>
  <w:abstractNum w:abstractNumId="67">
    <w:nsid w:val="2DF6D648"/>
    <w:multiLevelType w:val="hybridMultilevel"/>
    <w:lvl w:ilvl="0">
      <w:lvlJc w:val="left"/>
      <w:lvlText w:val="%1."/>
      <w:numFmt w:val="upperLetter"/>
      <w:start w:val="12"/>
    </w:lvl>
  </w:abstractNum>
  <w:abstractNum w:abstractNumId="68">
    <w:nsid w:val="46B7D447"/>
    <w:multiLevelType w:val="hybridMultilevel"/>
    <w:lvl w:ilvl="0">
      <w:lvlJc w:val="left"/>
      <w:lvlText w:val="%1."/>
      <w:numFmt w:val="upperLetter"/>
      <w:start w:val="15"/>
    </w:lvl>
  </w:abstractNum>
  <w:abstractNum w:abstractNumId="69">
    <w:nsid w:val="4A2AC315"/>
    <w:multiLevelType w:val="hybridMultilevel"/>
    <w:lvl w:ilvl="0">
      <w:lvlJc w:val="left"/>
      <w:lvlText w:val="%1."/>
      <w:numFmt w:val="upperLetter"/>
      <w:start w:val="17"/>
    </w:lvl>
  </w:abstractNum>
  <w:abstractNum w:abstractNumId="70">
    <w:nsid w:val="39EE015C"/>
    <w:multiLevelType w:val="hybridMultilevel"/>
    <w:lvl w:ilvl="0">
      <w:lvlJc w:val="left"/>
      <w:lvlText w:val="%1."/>
      <w:numFmt w:val="upperLetter"/>
      <w:start w:val="19"/>
    </w:lvl>
  </w:abstractNum>
  <w:abstractNum w:abstractNumId="71">
    <w:nsid w:val="57FC4FBB"/>
    <w:multiLevelType w:val="hybridMultilevel"/>
    <w:lvl w:ilvl="0">
      <w:lvlJc w:val="left"/>
      <w:lvlText w:val="%1."/>
      <w:numFmt w:val="upperLetter"/>
      <w:start w:val="2"/>
    </w:lvl>
  </w:abstractNum>
  <w:abstractNum w:abstractNumId="72">
    <w:nsid w:val="CC1016F"/>
    <w:multiLevelType w:val="hybridMultilevel"/>
    <w:lvl w:ilvl="0">
      <w:lvlJc w:val="left"/>
      <w:lvlText w:val="%1."/>
      <w:numFmt w:val="upperLetter"/>
      <w:start w:val="1"/>
    </w:lvl>
  </w:abstractNum>
  <w:abstractNum w:abstractNumId="73">
    <w:nsid w:val="43F18422"/>
    <w:multiLevelType w:val="hybridMultilevel"/>
    <w:lvl w:ilvl="0">
      <w:lvlJc w:val="left"/>
      <w:lvlText w:val="%1."/>
      <w:numFmt w:val="upperLetter"/>
      <w:start w:val="4"/>
    </w:lvl>
  </w:abstractNum>
  <w:abstractNum w:abstractNumId="74">
    <w:nsid w:val="60EF0119"/>
    <w:multiLevelType w:val="hybridMultilevel"/>
    <w:lvl w:ilvl="0">
      <w:lvlJc w:val="left"/>
      <w:lvlText w:val="%1."/>
      <w:numFmt w:val="upperLetter"/>
      <w:start w:val="1"/>
    </w:lvl>
  </w:abstractNum>
  <w:abstractNum w:abstractNumId="75">
    <w:nsid w:val="26F324BA"/>
    <w:multiLevelType w:val="hybridMultilevel"/>
    <w:lvl w:ilvl="0">
      <w:lvlJc w:val="left"/>
      <w:lvlText w:val="%1."/>
      <w:numFmt w:val="upperLetter"/>
      <w:start w:val="1"/>
    </w:lvl>
  </w:abstractNum>
  <w:abstractNum w:abstractNumId="76">
    <w:nsid w:val="7F01579B"/>
    <w:multiLevelType w:val="hybridMultilevel"/>
    <w:lvl w:ilvl="0">
      <w:lvlJc w:val="left"/>
      <w:lvlText w:val="%1."/>
      <w:numFmt w:val="upperLetter"/>
      <w:start w:val="1"/>
    </w:lvl>
  </w:abstractNum>
  <w:abstractNum w:abstractNumId="77">
    <w:nsid w:val="49DA307D"/>
    <w:multiLevelType w:val="hybridMultilevel"/>
    <w:lvl w:ilvl="0">
      <w:lvlJc w:val="left"/>
      <w:lvlText w:val="%1."/>
      <w:numFmt w:val="upperLetter"/>
      <w:start w:val="1"/>
    </w:lvl>
  </w:abstractNum>
  <w:abstractNum w:abstractNumId="78">
    <w:nsid w:val="7055A5F5"/>
    <w:multiLevelType w:val="hybridMultilevel"/>
    <w:lvl w:ilvl="0">
      <w:lvlJc w:val="left"/>
      <w:lvlText w:val="%1."/>
      <w:numFmt w:val="upperLetter"/>
      <w:start w:val="2"/>
    </w:lvl>
  </w:abstractNum>
  <w:abstractNum w:abstractNumId="79">
    <w:nsid w:val="5FB8370B"/>
    <w:multiLevelType w:val="hybridMultilevel"/>
    <w:lvl w:ilvl="0">
      <w:lvlJc w:val="left"/>
      <w:lvlText w:val="%1."/>
      <w:numFmt w:val="upperLetter"/>
      <w:start w:val="2"/>
    </w:lvl>
  </w:abstractNum>
  <w:abstractNum w:abstractNumId="80">
    <w:nsid w:val="50801EE1"/>
    <w:multiLevelType w:val="hybridMultilevel"/>
    <w:lvl w:ilvl="0">
      <w:lvlJc w:val="left"/>
      <w:lvlText w:val="%1."/>
      <w:numFmt w:val="upperLetter"/>
      <w:start w:val="2"/>
    </w:lvl>
  </w:abstractNum>
  <w:abstractNum w:abstractNumId="81">
    <w:nsid w:val="488AC1A"/>
    <w:multiLevelType w:val="hybridMultilevel"/>
    <w:lvl w:ilvl="0">
      <w:lvlJc w:val="left"/>
      <w:lvlText w:val="%1."/>
      <w:numFmt w:val="upperLetter"/>
      <w:start w:val="2"/>
    </w:lvl>
  </w:abstractNum>
  <w:abstractNum w:abstractNumId="82">
    <w:nsid w:val="5FB8011C"/>
    <w:multiLevelType w:val="hybridMultilevel"/>
    <w:lvl w:ilvl="0">
      <w:lvlJc w:val="left"/>
      <w:lvlText w:val="*"/>
      <w:numFmt w:val="bullet"/>
      <w:start w:val="1"/>
    </w:lvl>
  </w:abstractNum>
  <w:abstractNum w:abstractNumId="83">
    <w:nsid w:val="6AA78F7F"/>
    <w:multiLevelType w:val="hybridMultilevel"/>
    <w:lvl w:ilvl="0">
      <w:lvlJc w:val="left"/>
      <w:lvlText w:val="%1."/>
      <w:numFmt w:val="upperLetter"/>
      <w:start w:val="1"/>
    </w:lvl>
  </w:abstractNum>
  <w:abstractNum w:abstractNumId="84">
    <w:nsid w:val="7672BD23"/>
    <w:multiLevelType w:val="hybridMultilevel"/>
    <w:lvl w:ilvl="0">
      <w:lvlJc w:val="left"/>
      <w:lvlText w:val="(*)"/>
      <w:numFmt w:val="bullet"/>
      <w:start w:val="1"/>
    </w:lvl>
  </w:abstractNum>
  <w:abstractNum w:abstractNumId="85">
    <w:nsid w:val="6FC75AF8"/>
    <w:multiLevelType w:val="hybridMultilevel"/>
    <w:lvl w:ilvl="0">
      <w:lvlJc w:val="left"/>
      <w:lvlText w:val="%1."/>
      <w:numFmt w:val="upperLetter"/>
      <w:start w:val="1"/>
    </w:lvl>
  </w:abstractNum>
  <w:abstractNum w:abstractNumId="86">
    <w:nsid w:val="6A5F7029"/>
    <w:multiLevelType w:val="hybridMultilevel"/>
    <w:lvl w:ilvl="0">
      <w:lvlJc w:val="left"/>
      <w:lvlText w:val="1"/>
      <w:numFmt w:val="bullet"/>
      <w:start w:val="1"/>
    </w:lvl>
  </w:abstractNum>
  <w:abstractNum w:abstractNumId="87">
    <w:nsid w:val="7D5E18F8"/>
    <w:multiLevelType w:val="hybridMultilevel"/>
    <w:lvl w:ilvl="0">
      <w:lvlJc w:val="left"/>
      <w:lvlText w:val="2"/>
      <w:numFmt w:val="bullet"/>
      <w:start w:val="1"/>
    </w:lvl>
  </w:abstractNum>
  <w:abstractNum w:abstractNumId="88">
    <w:nsid w:val="5F3534A4"/>
    <w:multiLevelType w:val="hybridMultilevel"/>
    <w:lvl w:ilvl="0">
      <w:lvlJc w:val="left"/>
      <w:lvlText w:val="3"/>
      <w:numFmt w:val="bullet"/>
      <w:start w:val="1"/>
    </w:lvl>
  </w:abstractNum>
  <w:abstractNum w:abstractNumId="89">
    <w:nsid w:val="73A1821B"/>
    <w:multiLevelType w:val="hybridMultilevel"/>
    <w:lvl w:ilvl="0">
      <w:lvlJc w:val="left"/>
      <w:lvlText w:val="3"/>
      <w:numFmt w:val="bullet"/>
      <w:start w:val="1"/>
    </w:lvl>
  </w:abstractNum>
  <w:abstractNum w:abstractNumId="90">
    <w:nsid w:val="7DE67713"/>
    <w:multiLevelType w:val="hybridMultilevel"/>
    <w:lvl w:ilvl="0">
      <w:lvlJc w:val="left"/>
      <w:lvlText w:val="1"/>
      <w:numFmt w:val="bullet"/>
      <w:start w:val="1"/>
    </w:lvl>
  </w:abstractNum>
  <w:abstractNum w:abstractNumId="91">
    <w:nsid w:val="555C55B5"/>
    <w:multiLevelType w:val="hybridMultilevel"/>
    <w:lvl w:ilvl="0">
      <w:lvlJc w:val="left"/>
      <w:lvlText w:val="2"/>
      <w:numFmt w:val="bullet"/>
      <w:start w:val="1"/>
    </w:lvl>
  </w:abstractNum>
  <w:abstractNum w:abstractNumId="92">
    <w:nsid w:val="3FA62ACA"/>
    <w:multiLevelType w:val="hybridMultilevel"/>
    <w:lvl w:ilvl="0">
      <w:lvlJc w:val="left"/>
      <w:lvlText w:val="3"/>
      <w:numFmt w:val="bullet"/>
      <w:start w:val="1"/>
    </w:lvl>
  </w:abstractNum>
  <w:abstractNum w:abstractNumId="93">
    <w:nsid w:val="14FCE74E"/>
    <w:multiLevelType w:val="hybridMultilevel"/>
    <w:lvl w:ilvl="0">
      <w:lvlJc w:val="left"/>
      <w:lvlText w:val="3"/>
      <w:numFmt w:val="bullet"/>
      <w:start w:val="1"/>
    </w:lvl>
  </w:abstractNum>
  <w:abstractNum w:abstractNumId="94">
    <w:nsid w:val="6A3DD3E8"/>
    <w:multiLevelType w:val="hybridMultilevel"/>
    <w:lvl w:ilvl="0">
      <w:lvlJc w:val="left"/>
      <w:lvlText w:val="●"/>
      <w:numFmt w:val="bullet"/>
      <w:start w:val="1"/>
    </w:lvl>
  </w:abstractNum>
  <w:abstractNum w:abstractNumId="95">
    <w:nsid w:val="71C91298"/>
    <w:multiLevelType w:val="hybridMultilevel"/>
    <w:lvl w:ilvl="0">
      <w:lvlJc w:val="left"/>
      <w:lvlText w:val="●"/>
      <w:numFmt w:val="bullet"/>
      <w:start w:val="1"/>
    </w:lvl>
  </w:abstractNum>
  <w:abstractNum w:abstractNumId="96">
    <w:nsid w:val="9DAF632"/>
    <w:multiLevelType w:val="hybridMultilevel"/>
    <w:lvl w:ilvl="0">
      <w:lvlJc w:val="left"/>
      <w:lvlText w:val="●"/>
      <w:numFmt w:val="bullet"/>
      <w:start w:val="1"/>
    </w:lvl>
  </w:abstractNum>
  <w:abstractNum w:abstractNumId="97">
    <w:nsid w:val="53299938"/>
    <w:multiLevelType w:val="hybridMultilevel"/>
    <w:lvl w:ilvl="0">
      <w:lvlJc w:val="left"/>
      <w:lvlText w:val="%1."/>
      <w:numFmt w:val="decimal"/>
      <w:start w:val="1"/>
    </w:lvl>
    <w:lvl w:ilvl="1">
      <w:lvlJc w:val="left"/>
      <w:lvlText w:val="(%2)"/>
      <w:numFmt w:val="lowerLetter"/>
      <w:start w:val="1"/>
    </w:lvl>
  </w:abstractNum>
  <w:abstractNum w:abstractNumId="98">
    <w:nsid w:val="1FBFE8E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9">
    <w:nsid w:val="5092CA7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0">
    <w:nsid w:val="1D545C4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101">
    <w:nsid w:val="59ADEA3D"/>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1"/>
    </w:lvl>
  </w:abstractNum>
  <w:abstractNum w:abstractNumId="102">
    <w:nsid w:val="288F1A34"/>
    <w:multiLevelType w:val="hybridMultilevel"/>
    <w:lvl w:ilvl="0">
      <w:lvlJc w:val="left"/>
      <w:lvlText w:val="%1"/>
      <w:numFmt w:val="decimal"/>
      <w:start w:val="1"/>
    </w:lvl>
    <w:lvl w:ilvl="1">
      <w:lvlJc w:val="left"/>
      <w:lvlText w:val="(%2)"/>
      <w:numFmt w:val="lowerLetter"/>
      <w:start w:val="4"/>
    </w:lvl>
  </w:abstractNum>
  <w:abstractNum w:abstractNumId="103">
    <w:nsid w:val="2A155DBC"/>
    <w:multiLevelType w:val="hybridMultilevel"/>
    <w:lvl w:ilvl="0">
      <w:lvlJc w:val="left"/>
      <w:lvlText w:val="%1."/>
      <w:numFmt w:val="decimal"/>
      <w:start w:val="4"/>
    </w:lvl>
    <w:lvl w:ilvl="1">
      <w:lvlJc w:val="left"/>
      <w:lvlText w:val="(%2)"/>
      <w:numFmt w:val="lowerLetter"/>
      <w:start w:val="1"/>
    </w:lvl>
  </w:abstractNum>
  <w:abstractNum w:abstractNumId="104">
    <w:nsid w:val="1D9F6E5F"/>
    <w:multiLevelType w:val="hybridMultilevel"/>
    <w:lvl w:ilvl="0">
      <w:lvlJc w:val="left"/>
      <w:lvlText w:val="%1"/>
      <w:numFmt w:val="decimal"/>
      <w:start w:val="1"/>
    </w:lvl>
    <w:lvl w:ilvl="1">
      <w:lvlJc w:val="left"/>
      <w:lvlText w:val="(%2)"/>
      <w:numFmt w:val="lowerLetter"/>
      <w:start w:val="2"/>
    </w:lvl>
  </w:abstractNum>
  <w:abstractNum w:abstractNumId="105">
    <w:nsid w:val="97E1B4E"/>
    <w:multiLevelType w:val="hybridMultilevel"/>
    <w:lvl w:ilvl="0">
      <w:lvlJc w:val="left"/>
      <w:lvlText w:val="%1."/>
      <w:numFmt w:val="decimal"/>
      <w:start w:val="8"/>
    </w:lvl>
    <w:lvl w:ilvl="1">
      <w:lvlJc w:val="left"/>
      <w:lvlText w:val="(%2)"/>
      <w:numFmt w:val="lowerLetter"/>
      <w:start w:val="1"/>
    </w:lvl>
  </w:abstractNum>
  <w:abstractNum w:abstractNumId="106">
    <w:nsid w:val="51088277"/>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7">
    <w:nsid w:val="1CA0C5FA"/>
    <w:multiLevelType w:val="hybridMultilevel"/>
    <w:lvl w:ilvl="0">
      <w:lvlJc w:val="left"/>
      <w:lvlText w:val="%1"/>
      <w:numFmt w:val="decimal"/>
      <w:start w:val="1"/>
    </w:lvl>
    <w:lvl w:ilvl="1">
      <w:lvlJc w:val="left"/>
      <w:lvlText w:val="(%2)"/>
      <w:numFmt w:val="lowerLetter"/>
      <w:start w:val="6"/>
    </w:lvl>
  </w:abstractNum>
  <w:abstractNum w:abstractNumId="108">
    <w:nsid w:val="53584BCB"/>
    <w:multiLevelType w:val="hybridMultilevel"/>
    <w:lvl w:ilvl="0">
      <w:lvlJc w:val="left"/>
      <w:lvlText w:val="%1."/>
      <w:numFmt w:val="decimal"/>
      <w:start w:val="12"/>
    </w:lvl>
    <w:lvl w:ilvl="1">
      <w:lvlJc w:val="left"/>
      <w:lvlText w:val="%2"/>
      <w:numFmt w:val="lowerLetter"/>
      <w:start w:val="1"/>
    </w:lvl>
  </w:abstractNum>
  <w:abstractNum w:abstractNumId="109">
    <w:nsid w:val="415E286C"/>
    <w:multiLevelType w:val="hybridMultilevel"/>
    <w:lvl w:ilvl="0">
      <w:lvlJc w:val="left"/>
      <w:lvlText w:val="%1."/>
      <w:numFmt w:val="decimal"/>
      <w:start w:val="13"/>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220"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95" Type="http://schemas.openxmlformats.org/officeDocument/2006/relationships/hyperlink" Target="https://www.sec.gov/Archives/edgar/data/1739174/000121390024033032/ea020393601ex3-1_biomxinc.htm" TargetMode="External"/><Relationship Id="rId96" Type="http://schemas.openxmlformats.org/officeDocument/2006/relationships/hyperlink" Target="https://www.sec.gov/Archives/edgar/data/1739174/000121390024020282/ea0201229ex3-1_biomx.htm" TargetMode="External"/><Relationship Id="rId97" Type="http://schemas.openxmlformats.org/officeDocument/2006/relationships/hyperlink" Target="https://www.sec.gov/Archives/edgar/data/1739174/000121390025126161/ea027111701ex3-1_biomx.htm" TargetMode="External"/><Relationship Id="rId98" Type="http://schemas.openxmlformats.org/officeDocument/2006/relationships/hyperlink" Target="https://www.sec.gov/Archives/edgar/data/1739174/000161577418013825/s114339_ex4-2.htm" TargetMode="External"/><Relationship Id="rId99" Type="http://schemas.openxmlformats.org/officeDocument/2006/relationships/hyperlink" Target="https://www.sec.gov/Archives/edgar/data/1739174/000121390021038525/ea144745ex4-1_biomx.htm" TargetMode="External"/><Relationship Id="rId100" Type="http://schemas.openxmlformats.org/officeDocument/2006/relationships/hyperlink" Target="https://www.sec.gov/Archives/edgar/data/1739174/000121390023014891/ea174316ex4-1_biomxinc.htm" TargetMode="External"/><Relationship Id="rId101" Type="http://schemas.openxmlformats.org/officeDocument/2006/relationships/hyperlink" Target="https://www.sec.gov/Archives/edgar/data/1739174/000121390024020282/ea0201229ex4-1_biomx.htm" TargetMode="External"/><Relationship Id="rId102" Type="http://schemas.openxmlformats.org/officeDocument/2006/relationships/hyperlink" Target="https://www.sec.gov/Archives/edgar/data/1739174/000121390024020282/ea0201229ex4-2_biomx.htm" TargetMode="External"/><Relationship Id="rId103" Type="http://schemas.openxmlformats.org/officeDocument/2006/relationships/hyperlink" Target="https://www.sec.gov/Archives/edgar/data/1739174/000121390024020282/ea0201229ex4-3_biomx.htm" TargetMode="External"/><Relationship Id="rId104" Type="http://schemas.openxmlformats.org/officeDocument/2006/relationships/hyperlink" Target="https://www.sec.gov/Archives/edgar/data/1739174/000121390025017728/ea023220101ex4-5_biomx.htm" TargetMode="External"/><Relationship Id="rId105" Type="http://schemas.openxmlformats.org/officeDocument/2006/relationships/hyperlink" Target="https://www.sec.gov/Archives/edgar/data/1739174/000121390025017728/ea023220101ex4-1_biomx.htm" TargetMode="External"/><Relationship Id="rId106" Type="http://schemas.openxmlformats.org/officeDocument/2006/relationships/hyperlink" Target="https://www.sec.gov/Archives/edgar/data/1739174/000121390025017728/ea023220101ex4-2_biomx.htm" TargetMode="External"/><Relationship Id="rId107" Type="http://schemas.openxmlformats.org/officeDocument/2006/relationships/hyperlink" Target="https://www.sec.gov/Archives/edgar/data/1739174/000121390025017728/ea023220101ex4-3_biomx.htm" TargetMode="External"/><Relationship Id="rId108" Type="http://schemas.openxmlformats.org/officeDocument/2006/relationships/hyperlink" Target="https://www.sec.gov/Archives/edgar/data/1739174/000121390025017728/ea023220101ex4-4_biomx.htm" TargetMode="External"/><Relationship Id="rId109" Type="http://schemas.openxmlformats.org/officeDocument/2006/relationships/hyperlink" Target="https://www.sec.gov/Archives/edgar/data/1739174/000121390025126161/ea027111701ex4-1_biomx.htm" TargetMode="External"/><Relationship Id="rId110" Type="http://schemas.openxmlformats.org/officeDocument/2006/relationships/hyperlink" Target="https://www.sec.gov/Archives/edgar/data/1739174/000121390025126161/ea027111701ex4-2_biomx.htm" TargetMode="External"/><Relationship Id="rId111" Type="http://schemas.openxmlformats.org/officeDocument/2006/relationships/hyperlink" Target="https://www.sec.gov/Archives/edgar/data/1739174/000121390024060128/ea0209083ex10-1_biomx.htm" TargetMode="External"/><Relationship Id="rId112" Type="http://schemas.openxmlformats.org/officeDocument/2006/relationships/hyperlink" Target="https://www.sec.gov/Archives/edgar/data/1739174/000121390019021849/f8k1019ex10-1_biomx.htm" TargetMode="External"/><Relationship Id="rId113" Type="http://schemas.openxmlformats.org/officeDocument/2006/relationships/hyperlink" Target="https://www.sec.gov/Archives/edgar/data/1739174/000121390020000060/fs82020ex99-1_biomxinc.htm" TargetMode="External"/><Relationship Id="rId114" Type="http://schemas.openxmlformats.org/officeDocument/2006/relationships/hyperlink" Target="https://www.sec.gov/Archives/edgar/data/1739174/000121390020007405/f10k2019ex10-19_biomxinc.htm" TargetMode="External"/><Relationship Id="rId115" Type="http://schemas.openxmlformats.org/officeDocument/2006/relationships/hyperlink" Target="https://www.sec.gov/Archives/edgar/data/1739174/000121390020007405/f10k2019ex10-20_biomxinc.htm" TargetMode="External"/><Relationship Id="rId116" Type="http://schemas.openxmlformats.org/officeDocument/2006/relationships/hyperlink" Target="https://www.sec.gov/Archives/edgar/data/1739174/000121390020007405/f10k2019ex10-21_biomxinc.htm" TargetMode="External"/><Relationship Id="rId117" Type="http://schemas.openxmlformats.org/officeDocument/2006/relationships/hyperlink" Target="https://www.sec.gov/Archives/edgar/data/1739174/000121390024098523/ea022102501ex10-1_biomx.htm" TargetMode="External"/><Relationship Id="rId118" Type="http://schemas.openxmlformats.org/officeDocument/2006/relationships/hyperlink" Target="https://www.sec.gov/Archives/edgar/data/1739174/000121390023094106/ea189612ex1-2_biomxinc.htm" TargetMode="External"/><Relationship Id="rId119" Type="http://schemas.openxmlformats.org/officeDocument/2006/relationships/hyperlink" Target="https://www.sec.gov/Archives/edgar/data/1739174/000121390022023189/f10k2021a1ex10-1_biomxinc.htm" TargetMode="External"/><Relationship Id="rId120" Type="http://schemas.openxmlformats.org/officeDocument/2006/relationships/hyperlink" Target="https://www.sec.gov/Archives/edgar/data/1739174/000121390022023189/f10k2021a1ex10-2_biomxinc.htm" TargetMode="External"/><Relationship Id="rId121" Type="http://schemas.openxmlformats.org/officeDocument/2006/relationships/hyperlink" Target="https://www.sec.gov/Archives/edgar/data/1739174/000121390023013615/ea174091ex10-2_biomxinc.htm" TargetMode="External"/><Relationship Id="rId122" Type="http://schemas.openxmlformats.org/officeDocument/2006/relationships/hyperlink" Target="https://www.sec.gov/Archives/edgar/data/1739174/000121390024030053/ea020298801ex10-24_biomx.htm" TargetMode="External"/><Relationship Id="rId123" Type="http://schemas.openxmlformats.org/officeDocument/2006/relationships/hyperlink" Target="https://www.sec.gov/Archives/edgar/data/1739174/000121390024030053/ea020298801ex10-25_biomx.htm" TargetMode="External"/><Relationship Id="rId124" Type="http://schemas.openxmlformats.org/officeDocument/2006/relationships/hyperlink" Target="https://www.sec.gov/Archives/edgar/data/1739174/000121390024020282/ea0201229ex10-2_biomx.htm" TargetMode="External"/><Relationship Id="rId125" Type="http://schemas.openxmlformats.org/officeDocument/2006/relationships/hyperlink" Target="https://www.sec.gov/Archives/edgar/data/1739174/000121390025017728/ea023220101ex10-2_biomx.htm" TargetMode="External"/><Relationship Id="rId126" Type="http://schemas.openxmlformats.org/officeDocument/2006/relationships/hyperlink" Target="https://www.sec.gov/Archives/edgar/data/1739174/000121390025017728/ea023220101ex10-3_biomx.htm" TargetMode="External"/><Relationship Id="rId127" Type="http://schemas.openxmlformats.org/officeDocument/2006/relationships/hyperlink" Target="https://www.sec.gov/Archives/edgar/data/1739174/000121390025017728/ea023220101ex10-4_biomx.htm" TargetMode="External"/><Relationship Id="rId128" Type="http://schemas.openxmlformats.org/officeDocument/2006/relationships/hyperlink" Target="https://www.sec.gov/Archives/edgar/data/1739174/000101376225002283/ea023472401ex10-34_biomx.htm" TargetMode="External"/><Relationship Id="rId129" Type="http://schemas.openxmlformats.org/officeDocument/2006/relationships/hyperlink" Target="https://www.sec.gov/Archives/edgar/data/1739174/000121390025126161/ea027111701ex10-1_biomx.htm" TargetMode="External"/><Relationship Id="rId130" Type="http://schemas.openxmlformats.org/officeDocument/2006/relationships/hyperlink" Target="https://www.sec.gov/Archives/edgar/data/1739174/000121390025126161/ea027111701ex10-2_biomx.htm" TargetMode="External"/><Relationship Id="rId131" Type="http://schemas.openxmlformats.org/officeDocument/2006/relationships/hyperlink" Target="https://www.sec.gov/Archives/edgar/data/1739174/000101376225002283/ea023472401ex19-1_biomx.htm" TargetMode="External"/><Relationship Id="rId132" Type="http://schemas.openxmlformats.org/officeDocument/2006/relationships/hyperlink" Target="https://www.sec.gov/Archives/edgar/data/1739174/000121390024030053/ea020298801ex97-1_biom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2026-02-19T10:26:13Z</dcterms:created>
  <dcterms:modified xsi:type="dcterms:W3CDTF">2026-02-19T10:26:13Z</dcterms:modified>
</cp:coreProperties>
</file>