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a027695401-8k_biomxinc.htm"/>
      <w:bookmarkStart w:id="1" w:name="ksea0276954018k_biomxinc"/>
      <w:bookmarkEnd w:id="0"/>
      <w:bookmarkEnd w:id="1"/>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209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February 9, 2026</w:t>
      </w:r>
    </w:p>
    <w:p>
      <w:pPr>
        <w:pStyle w:val="TextBody"/>
        <w:bidi w:val="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28" w:type="dxa"/>
          <w:right w:w="0" w:type="dxa"/>
        </w:tblCellMar>
      </w:tblPr>
      <w:tblGrid>
        <w:gridCol w:w="5120"/>
      </w:tblGrid>
      <w:tr>
        <w:trPr/>
        <w:tc>
          <w:tcPr>
            <w:tcW w:w="5120" w:type="dxa"/>
            <w:tcBorders>
              <w:bottom w:val="single" w:sz="12" w:space="0" w:color="000000"/>
            </w:tcBorders>
            <w:vAlign w:val="center"/>
          </w:tcPr>
          <w:p>
            <w:pPr>
              <w:pStyle w:val="TableContents"/>
              <w:bidi w:val="0"/>
              <w:spacing w:before="0" w:after="283"/>
              <w:jc w:val="center"/>
              <w:rPr>
                <w:b/>
                <w:sz w:val="36"/>
              </w:rPr>
            </w:pPr>
            <w:bookmarkStart w:id="4" w:name="xdx_906_edei--EntityRegistrantName_c2026"/>
            <w:bookmarkEnd w:id="4"/>
            <w:r>
              <w:rPr>
                <w:b/>
                <w:sz w:val="36"/>
              </w:rPr>
              <w:t>BiomX Inc.</w:t>
            </w:r>
          </w:p>
        </w:tc>
      </w:tr>
      <w:tr>
        <w:trPr/>
        <w:tc>
          <w:tcPr>
            <w:tcW w:w="5120" w:type="dxa"/>
            <w:tcBorders/>
            <w:tcMar>
              <w:bottom w:w="0" w:type="dxa"/>
            </w:tcMar>
            <w:vAlign w:val="center"/>
          </w:tcPr>
          <w:p>
            <w:pPr>
              <w:pStyle w:val="TableContents"/>
              <w:bidi w:val="0"/>
              <w:spacing w:before="0" w:after="283"/>
              <w:jc w:val="center"/>
              <w:rPr/>
            </w:pPr>
            <w:r>
              <w:rPr/>
              <w:t>(Exact Name of Registrant as Specified in its Charter)</w:t>
            </w:r>
          </w:p>
        </w:tc>
      </w:tr>
    </w:tbl>
    <w:p>
      <w:pPr>
        <w:pStyle w:val="TextBody"/>
        <w:bidi w:val="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5_edei--EntityFileNumber_c20260209"/>
            <w:bookmarkEnd w:id="6"/>
            <w:r>
              <w:rPr>
                <w:b/>
              </w:rPr>
              <w:t>001-38762</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4_edei--EntityTaxIdentificationNum"/>
            <w:bookmarkEnd w:id="7"/>
            <w:r>
              <w:rPr>
                <w:b/>
              </w:rPr>
              <w:t>82-3364020</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5740" w:type="dxa"/>
        <w:jc w:val="left"/>
        <w:tblInd w:w="0" w:type="dxa"/>
        <w:tblLayout w:type="fixed"/>
        <w:tblCellMar>
          <w:top w:w="0" w:type="dxa"/>
          <w:left w:w="0" w:type="dxa"/>
          <w:bottom w:w="28" w:type="dxa"/>
          <w:right w:w="0" w:type="dxa"/>
        </w:tblCellMar>
      </w:tblPr>
      <w:tblGrid>
        <w:gridCol w:w="4595"/>
        <w:gridCol w:w="60"/>
        <w:gridCol w:w="1085"/>
      </w:tblGrid>
      <w:tr>
        <w:trPr/>
        <w:tc>
          <w:tcPr>
            <w:tcW w:w="4595" w:type="dxa"/>
            <w:tcBorders>
              <w:bottom w:val="single" w:sz="12" w:space="0" w:color="000000"/>
            </w:tcBorders>
            <w:vAlign w:val="center"/>
          </w:tcPr>
          <w:p>
            <w:pPr>
              <w:pStyle w:val="TableContents"/>
              <w:bidi w:val="0"/>
              <w:spacing w:before="0" w:after="283"/>
              <w:jc w:val="center"/>
              <w:rPr>
                <w:b/>
              </w:rPr>
            </w:pPr>
            <w:bookmarkStart w:id="8" w:name="xdx_90E_edei--EntityAddressAddressLine1_"/>
            <w:bookmarkEnd w:id="8"/>
            <w:r>
              <w:rPr>
                <w:b/>
              </w:rPr>
              <w:t xml:space="preserve">850 New Burton Road, </w:t>
            </w:r>
            <w:bookmarkStart w:id="9" w:name="xdx_90A_edei--EntityAddressAddressLine2_"/>
            <w:bookmarkEnd w:id="9"/>
            <w:r>
              <w:rPr>
                <w:b/>
              </w:rPr>
              <w:t xml:space="preserve">Suite 201, </w:t>
            </w:r>
            <w:bookmarkStart w:id="10" w:name="xdx_90F_edei--EntityAddressCityOrTown_c2"/>
            <w:bookmarkEnd w:id="10"/>
            <w:r>
              <w:rPr>
                <w:b/>
              </w:rPr>
              <w:t xml:space="preserve">Dover, </w:t>
            </w:r>
            <w:bookmarkStart w:id="11" w:name="xdx_904_edei--EntityAddressStateOrProvin"/>
            <w:bookmarkEnd w:id="11"/>
            <w:r>
              <w:rPr>
                <w:b/>
              </w:rPr>
              <w:t>DE</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2" w:name="xdx_901_edei--EntityAddressPostalZipCode"/>
            <w:bookmarkEnd w:id="12"/>
            <w:r>
              <w:rPr>
                <w:b/>
              </w:rPr>
              <w:t>19904</w:t>
            </w:r>
          </w:p>
        </w:tc>
      </w:tr>
      <w:tr>
        <w:trPr/>
        <w:tc>
          <w:tcPr>
            <w:tcW w:w="459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0_edei--CityAreaCode_c20260209__20"/>
      <w:bookmarkEnd w:id="13"/>
      <w:r>
        <w:rPr>
          <w:rFonts w:ascii="Times New Roman;Times;Serif" w:hAnsi="Times New Roman;Times;Serif"/>
          <w:b/>
          <w:i w:val="false"/>
          <w:caps w:val="false"/>
          <w:smallCaps w:val="false"/>
          <w:sz w:val="20"/>
        </w:rPr>
        <w:t xml:space="preserve">972) </w:t>
      </w:r>
      <w:bookmarkStart w:id="14" w:name="xdx_90D_edei--LocalPhoneNumber_c20260209"/>
      <w:bookmarkEnd w:id="14"/>
      <w:r>
        <w:rPr>
          <w:rFonts w:ascii="Times New Roman;Times;Serif" w:hAnsi="Times New Roman;Times;Serif"/>
          <w:b/>
          <w:i w:val="false"/>
          <w:caps w:val="false"/>
          <w:smallCaps w:val="false"/>
          <w:sz w:val="20"/>
        </w:rPr>
        <w:t>54-561-0935</w:t>
      </w:r>
    </w:p>
    <w:p>
      <w:pPr>
        <w:pStyle w:val="TextBody"/>
        <w:bidi w:val="0"/>
        <w:jc w:val="center"/>
        <w:rPr>
          <w:caps w:val="false"/>
          <w:smallCaps w:val="false"/>
        </w:rPr>
      </w:pPr>
      <w:r>
        <w:rPr>
          <w:caps w:val="false"/>
          <w:smallCaps w:val="false"/>
        </w:rPr>
        <w:t> </w:t>
      </w:r>
    </w:p>
    <w:tbl>
      <w:tblPr>
        <w:tblW w:w="5870" w:type="dxa"/>
        <w:jc w:val="left"/>
        <w:tblInd w:w="0" w:type="dxa"/>
        <w:tblLayout w:type="fixed"/>
        <w:tblCellMar>
          <w:top w:w="0" w:type="dxa"/>
          <w:left w:w="0" w:type="dxa"/>
          <w:bottom w:w="28" w:type="dxa"/>
          <w:right w:w="0" w:type="dxa"/>
        </w:tblCellMar>
      </w:tblPr>
      <w:tblGrid>
        <w:gridCol w:w="5795"/>
        <w:gridCol w:w="75"/>
      </w:tblGrid>
      <w:tr>
        <w:trPr/>
        <w:tc>
          <w:tcPr>
            <w:tcW w:w="5795" w:type="dxa"/>
            <w:tcBorders>
              <w:bottom w:val="single" w:sz="12" w:space="0" w:color="000000"/>
            </w:tcBorders>
            <w:vAlign w:val="center"/>
          </w:tcPr>
          <w:p>
            <w:pPr>
              <w:pStyle w:val="TableContents"/>
              <w:bidi w:val="0"/>
              <w:spacing w:before="0" w:after="283"/>
              <w:jc w:val="center"/>
              <w:rPr>
                <w:b/>
              </w:rPr>
            </w:pPr>
            <w:r>
              <w:rPr>
                <w:b/>
              </w:rPr>
              <w:t>n/a</w:t>
            </w:r>
          </w:p>
        </w:tc>
        <w:tc>
          <w:tcPr>
            <w:tcW w:w="75" w:type="dxa"/>
            <w:tcBorders/>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center"/>
              <w:rPr/>
            </w:pPr>
            <w:r>
              <w:rPr/>
              <w:t>(Former name or former address, if changed since last report)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245"/>
        <w:gridCol w:w="23"/>
        <w:gridCol w:w="852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23" w:type="dxa"/>
            <w:tcBorders/>
            <w:vAlign w:val="center"/>
          </w:tcPr>
          <w:p>
            <w:pPr>
              <w:pStyle w:val="TableContents"/>
              <w:bidi w:val="0"/>
              <w:spacing w:before="0" w:after="283"/>
              <w:jc w:val="left"/>
              <w:rPr>
                <w:sz w:val="4"/>
                <w:szCs w:val="4"/>
              </w:rPr>
            </w:pPr>
            <w:r>
              <w:rPr>
                <w:sz w:val="4"/>
                <w:szCs w:val="4"/>
              </w:rPr>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245"/>
        <w:gridCol w:w="23"/>
        <w:gridCol w:w="8555"/>
      </w:tblGrid>
      <w:tr>
        <w:trPr/>
        <w:tc>
          <w:tcPr>
            <w:tcW w:w="245" w:type="dxa"/>
            <w:tcBorders/>
            <w:vAlign w:val="center"/>
          </w:tcPr>
          <w:p>
            <w:pPr>
              <w:pStyle w:val="TableContents"/>
              <w:bidi w:val="0"/>
              <w:spacing w:before="0" w:after="283"/>
              <w:jc w:val="left"/>
              <w:rPr/>
            </w:pPr>
            <w:bookmarkStart w:id="16" w:name="xdx_902_edei--SolicitingMaterial_c202602"/>
            <w:bookmarkEnd w:id="16"/>
            <w:r>
              <w:rPr/>
              <w:t>☐</w:t>
            </w:r>
          </w:p>
        </w:tc>
        <w:tc>
          <w:tcPr>
            <w:tcW w:w="23" w:type="dxa"/>
            <w:tcBorders/>
            <w:vAlign w:val="center"/>
          </w:tcPr>
          <w:p>
            <w:pPr>
              <w:pStyle w:val="TableContents"/>
              <w:bidi w:val="0"/>
              <w:spacing w:before="0" w:after="283"/>
              <w:jc w:val="left"/>
              <w:rPr>
                <w:sz w:val="4"/>
                <w:szCs w:val="4"/>
              </w:rPr>
            </w:pPr>
            <w:r>
              <w:rPr>
                <w:sz w:val="4"/>
                <w:szCs w:val="4"/>
              </w:rPr>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left"/>
              <w:rPr/>
            </w:pPr>
            <w:bookmarkStart w:id="17" w:name="xdx_909_edei--PreCommencementTenderOffer"/>
            <w:bookmarkEnd w:id="17"/>
            <w:r>
              <w:rPr/>
              <w:t>☐</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9870" w:type="dxa"/>
        <w:jc w:val="left"/>
        <w:tblInd w:w="0" w:type="dxa"/>
        <w:tblLayout w:type="fixed"/>
        <w:tblCellMar>
          <w:top w:w="0" w:type="dxa"/>
          <w:left w:w="0" w:type="dxa"/>
          <w:bottom w:w="28" w:type="dxa"/>
          <w:right w:w="0" w:type="dxa"/>
        </w:tblCellMar>
      </w:tblPr>
      <w:tblGrid>
        <w:gridCol w:w="3350"/>
        <w:gridCol w:w="60"/>
        <w:gridCol w:w="1925"/>
        <w:gridCol w:w="60"/>
        <w:gridCol w:w="4475"/>
      </w:tblGrid>
      <w:tr>
        <w:trPr/>
        <w:tc>
          <w:tcPr>
            <w:tcW w:w="335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350" w:type="dxa"/>
            <w:tcBorders/>
            <w:shd w:fill="CCEEFF" w:val="clear"/>
            <w:tcMar>
              <w:bottom w:w="0" w:type="dxa"/>
            </w:tcMar>
            <w:vAlign w:val="center"/>
          </w:tcPr>
          <w:p>
            <w:pPr>
              <w:pStyle w:val="TableContents"/>
              <w:bidi w:val="0"/>
              <w:spacing w:before="0" w:after="283"/>
              <w:jc w:val="left"/>
              <w:rPr/>
            </w:pPr>
            <w:bookmarkStart w:id="19" w:name="xdx_902_edei--Security12bTitle_c20260209"/>
            <w:bookmarkEnd w:id="19"/>
            <w:r>
              <w:rPr/>
              <w:t>Common Stock, $0.0001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25" w:type="dxa"/>
            <w:tcBorders/>
            <w:shd w:fill="CCEEFF" w:val="clear"/>
            <w:tcMar>
              <w:bottom w:w="0" w:type="dxa"/>
            </w:tcMar>
            <w:vAlign w:val="center"/>
          </w:tcPr>
          <w:p>
            <w:pPr>
              <w:pStyle w:val="TableContents"/>
              <w:bidi w:val="0"/>
              <w:spacing w:before="0" w:after="283"/>
              <w:jc w:val="center"/>
              <w:rPr/>
            </w:pPr>
            <w:bookmarkStart w:id="20" w:name="xdx_903_edei--TradingSymbol_c20260209__2"/>
            <w:bookmarkEnd w:id="20"/>
            <w:r>
              <w:rPr/>
              <w:t>PHGE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75" w:type="dxa"/>
            <w:tcBorders/>
            <w:shd w:fill="CCEEFF" w:val="clear"/>
            <w:tcMar>
              <w:bottom w:w="0" w:type="dxa"/>
            </w:tcMar>
            <w:vAlign w:val="center"/>
          </w:tcPr>
          <w:p>
            <w:pPr>
              <w:pStyle w:val="TableContents"/>
              <w:bidi w:val="0"/>
              <w:spacing w:before="0" w:after="283"/>
              <w:jc w:val="center"/>
              <w:rPr/>
            </w:pPr>
            <w:bookmarkStart w:id="21" w:name="xdx_900_edei--SecurityExchangeName_c2026"/>
            <w:bookmarkEnd w:id="21"/>
            <w:r>
              <w:rPr/>
              <w:t>NYSE American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120" w:after="120"/>
        <w:ind w:left="120" w:right="12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Item 5.02 Departure of Directors or Certain Officers; Election of Directors; Appointment of Certain Officers; Compensation Arrangements of Certain Officers.</w:t>
      </w:r>
      <w:r>
        <w:rPr>
          <w:rFonts w:ascii="Times New Roman;Times;Serif" w:hAnsi="Times New Roman;Times;Serif"/>
          <w:b w:val="false"/>
          <w:i w:val="false"/>
          <w:caps w:val="false"/>
          <w:smallCaps w:val="false"/>
          <w:sz w:val="20"/>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and February 11, 2026, Jonathan Leff and Jesse Goodman resigned from the Board of Directors (the “Board”) of BiomX Inc. (the “Company”), for personal reasons, each effective immediately. Neither Mr. Leff nor Mr. Goodman advised the Company of any disagreement with the Company on any matter relating to its operations, policies or practices. The Company is actively seeking new candidates to fill the resulting vacancies on the Board.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Board of the Company, pursuant to a recommendation of the Nominating and Corporate Governance Committee of the Board, appointed Liat Bidas to serve as a Class II Director of the Company, with a term expiring at the Company’s annual meeting of stockholders in 2028, in order to fill one of the resulting vacancies on the 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Bidas is a Managing Partner at UpStream Capital Group, where since 2014 she has been engaged in investments in financial and real estate transactions, and provides advisory services and merger proposals. Since 2022, Ms. Bidas has served as a director of BioView, a publicly traded medical diagnostic device company listed on the Tel Aviv Stock Exchange (TASE), and has been involved in the company’s business development since 2023.  Previously, Ms. Bidas served as Chairperson of the Board of Directors of Dirom Construction Investments and Development Company Ltd. (2014-2015) and as Chairperson of the Board of Directors of Inventech Central Hotels (2014-2015).  From 2011 to 2014, Ms. Bidas worked with Top Alpha Capital in investment banking.  In parallel, since 1999 Ms. Bidas has worked at Active Optic Systems Ltd. in quality inspection and training roles relating to medical and cosmetic products, and since 2019 she has also served as a member of the company’s board of directors.  Ms. Bidas holds undergraduate studies from Bar-Ilan University in psychology, criminology and sociology, and completed additional studies in the financial field at Bar-Ilan University, including risk management, financial statements, corporate governance and a directors’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Ms. Bidas and any other person pursuant to which Ms. Bidas was selected as a Director. There are no transactions, relationships or agreements between Ms. Bidas and the Company that would require disclosure pursuant to Item 404(a) of Regulation S-K promulgated under the Securities Exchange Act of 1934,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concluded that Ms. Bidas is qualified to serve as a Director and is independent under the rules of the NYSE American LLC. For her service as a Director, Ms. Bidas will be entitled to the compensation the Company generally provides to its Directors, with the annual cash fees prorated.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the Company will enter into an indemnification agreement with Ms. Bidas on substantially the same terms as the agreements previously entered into between the Company and each of its other Directors. The form of indemnification agreement entered into between the Company and its Directors is filed as Exhibit 10.3 to the Company’s Annual Report on Form 10-K, filed on March 25, 2025, and is incorporated herein by reference.</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1790"/>
        <w:gridCol w:w="365"/>
        <w:gridCol w:w="2855"/>
      </w:tblGrid>
      <w:tr>
        <w:trPr/>
        <w:tc>
          <w:tcPr>
            <w:tcW w:w="1790" w:type="dxa"/>
            <w:tcBorders/>
            <w:vAlign w:val="center"/>
          </w:tcPr>
          <w:p>
            <w:pPr>
              <w:pStyle w:val="TableContents"/>
              <w:bidi w:val="0"/>
              <w:spacing w:before="0" w:after="283"/>
              <w:jc w:val="left"/>
              <w:rPr/>
            </w:pPr>
            <w:r>
              <w:rPr/>
              <w:t> </w:t>
            </w:r>
          </w:p>
        </w:tc>
        <w:tc>
          <w:tcPr>
            <w:tcW w:w="3220" w:type="dxa"/>
            <w:gridSpan w:val="2"/>
            <w:tcBorders/>
            <w:vAlign w:val="center"/>
          </w:tcPr>
          <w:p>
            <w:pPr>
              <w:pStyle w:val="TableContents"/>
              <w:bidi w:val="0"/>
              <w:spacing w:before="0" w:after="283"/>
              <w:jc w:val="left"/>
              <w:rPr>
                <w:b/>
              </w:rPr>
            </w:pPr>
            <w:r>
              <w:rPr>
                <w:b/>
              </w:rPr>
              <w:t>BIOMX INC.</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February 13, 2026</w:t>
            </w:r>
          </w:p>
        </w:tc>
        <w:tc>
          <w:tcPr>
            <w:tcW w:w="365" w:type="dxa"/>
            <w:tcBorders/>
            <w:vAlign w:val="center"/>
          </w:tcPr>
          <w:p>
            <w:pPr>
              <w:pStyle w:val="TableContents"/>
              <w:bidi w:val="0"/>
              <w:spacing w:before="0" w:after="283"/>
              <w:jc w:val="left"/>
              <w:rPr/>
            </w:pPr>
            <w:r>
              <w:rPr/>
              <w:t>By:</w:t>
            </w:r>
          </w:p>
        </w:tc>
        <w:tc>
          <w:tcPr>
            <w:tcW w:w="2855" w:type="dxa"/>
            <w:tcBorders>
              <w:bottom w:val="single" w:sz="12" w:space="0" w:color="000000"/>
            </w:tcBorders>
            <w:tcMar>
              <w:bottom w:w="28" w:type="dxa"/>
            </w:tcMar>
            <w:vAlign w:val="center"/>
          </w:tcPr>
          <w:p>
            <w:pPr>
              <w:pStyle w:val="TableContents"/>
              <w:bidi w:val="0"/>
              <w:spacing w:before="0" w:after="283"/>
              <w:jc w:val="left"/>
              <w:rPr/>
            </w:pPr>
            <w:r>
              <w:rPr/>
              <w:t>/s/ Jonathan Solomon</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Name: Jonathan Solomon</w:t>
            </w:r>
          </w:p>
        </w:tc>
      </w:tr>
      <w:tr>
        <w:trPr/>
        <w:tc>
          <w:tcPr>
            <w:tcW w:w="17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Title: Chief Executive Officer</w:t>
            </w:r>
          </w:p>
        </w:tc>
      </w:tr>
    </w:tbl>
    <w:p>
      <w:pPr>
        <w:pStyle w:val="TextBody"/>
        <w:bidi w:val="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871</Words>
  <Characters>4731</Characters>
  <CharactersWithSpaces>5610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