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24,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001-38762</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82-3364020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3"/>
          </w:tcPr>
          <w:p>
            <w:pPr>
              <w:jc w:val="center"/>
              <w:ind w:right="72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56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850 New Burton Road, Suite 201, Dover, DE</w:t>
            </w: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19904</w:t>
            </w:r>
          </w:p>
        </w:tc>
      </w:tr>
      <w:tr>
        <w:trPr>
          <w:trHeight w:val="234"/>
        </w:trPr>
        <w:tc>
          <w:tcPr>
            <w:tcW w:w="456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+972 52 437 4900</w:t>
      </w:r>
    </w:p>
    <w:p>
      <w:pPr>
        <w:spacing w:after="0" w:line="22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377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pacing w:after="0" w:line="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PHGE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Compensation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Executive Officers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2026, (i) Marina Wolfson tendered her resignation as the Chief Financial Officer, Principal Financial Officer and Principal Accounting Officer of BiomX Inc. (the “Company”) and (ii) Dr. Merav Bassan tendered her resignation as the Chief Development Officer of the Company, in each case, effective as of the same date. Neither resignation resulted from any disagreement with the Company on any matter relating to the Company’s operations, policies or practices.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25, 2026, Greg Merril, Edward Williams, and Susan Blum each tendered their resignation from the Board of Directors of the Company (the “Board”) and all Board committees thereto, in each case, effective as of the same date. None of the resignations from the Board resulted from any disagreement with the Company on any matter relating to the Company’s operations, policies or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27, 2026, to fill the executive vacancy resulting from Ms. Wolfson’s resignation, the Board appointed David Rokach to serve as the Chief Financial Officer, Principal Financial Officer and Principal Accounting Officer of the Company, effective as of the same date.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Rokach, age 58, has served as a director of the board of directors of Nukkleus Inc., a financial technology and multi-asset trading company since 2024, providing strategic oversight, corporate governance guidance and financial guidance. From 2017 to 2025, he served as Chief Executive Officer, partner and senior manager of Newcom Finance, a financial services firm focused on pension fund management and portfolio construction, where he oversaw firm-wide operations and strategic growth initiatives and was responsible for the construction and management of pension portfolios including provident and study funds. From 2021 to 2023, he served as Chief Executive Officer of Granit Investment Company, an investment management firm where he led firm operations, employee management and organizational strategy and implemented investment policies for multi-asset portfolios. Throughout his career, since 2014, Mr. Rokach has served as an independent strategic consultant, advising corporations and hedge funds specializing in diversified portfolios. The Company believes Mr. Rokach’s background provides experience in executive leadership, public company governance and investment strategy essential to the role of Chief Financial Officer.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Mr. Rokach and any other person pursuant to which Mr. Rokach was selected as Chief Financial Officer. There are no family relationships between Mr. Rokach and any director or executive officer of the Company that would be required to be disclosed pursuant to Item 401(d) of Regulation S-K, and there are no transactions involving Mr. Rokach that would be required to be disclosed pursuant to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25, 2026, the Company convened its Special Meeting of Stockholders (the “Special Meeting”). Because a quorum was not present, the Company adjourned, without conducting any business, the Special Meeting to permit additional time for stockholders to vote on the proposals set forth in the Company’s definitive proxy statement filed with the Securities and Exchange Commission on February 13,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announced in the Special Meeting, the Company intends to reconvene the Special Meeting on March 11, 2026, 8:00 a.m. Eastern Time, virtually at </w:t>
      </w:r>
      <w:r>
        <w:rPr>
          <w:rFonts w:ascii="Times New Roman" w:cs="Times New Roman" w:eastAsia="Times New Roman" w:hAnsi="Times New Roman"/>
          <w:sz w:val="18"/>
          <w:szCs w:val="18"/>
          <w:i w:val="1"/>
          <w:iCs w:val="1"/>
          <w:color w:val="auto"/>
        </w:rPr>
        <w:t>www.virtualshareholdermeeting.com/PHGE2026SM</w:t>
      </w:r>
      <w:r>
        <w:rPr>
          <w:rFonts w:ascii="Times New Roman" w:cs="Times New Roman" w:eastAsia="Times New Roman" w:hAnsi="Times New Roman"/>
          <w:sz w:val="18"/>
          <w:szCs w:val="18"/>
          <w:color w:val="auto"/>
        </w:rPr>
        <w:t>. The record date for determination of stockholders entitled to vote at the Special Meeting remains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3, 2026. No changes have been made to the proposals to be voted on at the Special Meeting.</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Jonathan Solomon</w:t>
      </w:r>
    </w:p>
    <w:p>
      <w:pPr>
        <w:spacing w:after="0" w:line="27"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2026-03-02T15:16:05Z</dcterms:created>
  <dcterms:modified xsi:type="dcterms:W3CDTF">2026-03-02T15:16:05Z</dcterms:modified>
</cp:coreProperties>
</file>