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BIOMX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708 Quince Orchard Rd, Suite 205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Gaithersburg, MD 20878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February 12, 2026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u w:val="single" w:color="auto"/>
          <w:color w:val="auto"/>
        </w:rPr>
        <w:t>VIA EDGAR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ectPr>
          <w:pgSz w:w="11900" w:h="16838" w:orient="portrait"/>
          <w:cols w:equalWidth="0" w:num="1">
            <w:col w:w="11240"/>
          </w:cols>
          <w:pgMar w:left="320" w:top="468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BiomX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on February 9, 2026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 No. 333-293308 (the “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”)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400"/>
            <w:col w:w="10580"/>
          </w:cols>
          <w:pgMar w:left="320" w:top="468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of the Rules and Regulations of the Securities and Exchange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under the Securities Act of 1933, as amended, BiomX Inc. hereby respectfully requests acceleration of the effective date of the Registration Statement, so that it may become effective at 5:00 p.m., Eastern Time, on February 13, 2026, or as soon thereafter as practicable.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Should any member of the staff of the Commission have any questions or comments with respect to this request, please contact our counsel, Haynes and Boone, LLP, attention: Rick Werner, Esq. at (212) 659-4974.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BIOMX INC.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Jonathan Solomon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18415</wp:posOffset>
            </wp:positionV>
            <wp:extent cx="249428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7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Jonathan Solomon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Rick A. Werner, Esq., Haynes and Boone, LLP</w:t>
      </w:r>
    </w:p>
    <w:sectPr>
      <w:pgSz w:w="11900" w:h="16838" w:orient="portrait"/>
      <w:cols w:equalWidth="0" w:num="1">
        <w:col w:w="11240"/>
      </w:cols>
      <w:pgMar w:left="320" w:top="46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2026-04-27T23:23:39Z</dcterms:created>
  <dcterms:modified xsi:type="dcterms:W3CDTF">2026-04-27T23:23:39Z</dcterms:modified>
</cp:coreProperties>
</file>